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4A_554/2014 vom 15. April 2015</w:t>
      </w:r>
    </w:p>
    <w:p>
      <w:r>
        <w:t>Bundesgericht, 2015-04-15, FR</w:t>
      </w:r>
    </w:p>
    <w:p>
      <w:r>
        <w:rPr>
          <w:b/>
        </w:rPr>
        <w:t xml:space="preserve">Quelle: </w:t>
      </w:r>
      <w:r>
        <w:t>https://mcp.opencaselaw.ch/entscheid/bger_4A_554_2014</w:t>
      </w:r>
    </w:p>
    <w:p>
      <w:r>
        <w:t>FR: TF 4A_554/2014 du 15 avril 2015</w:t>
      </w:r>
    </w:p>
    <w:p>
      <w:r>
        <w:t>IT: TF 4A_554/2014 del 15 aprile 2015</w:t>
      </w:r>
    </w:p>
    <w:p>
      <w:pPr>
        <w:pStyle w:val="Heading2"/>
      </w:pPr>
      <w:r>
        <w:t>Erwägungen</w:t>
      </w:r>
    </w:p>
    <w:p>
      <w:r>
        <w:rPr>
          <w:b/>
        </w:rPr>
        <w:t>E. 1</w:t>
      </w:r>
    </w:p>
    <w:p>
      <w:r>
        <w:t>Le recours en matière civile est recevable contre les sentences touchant l'arbitrage international aux conditions fixées par les art. 190 à 192 LDIP ( art. 77 al. 1 let. a LTF ). Qu'il s'agisse de l'objet du recours, de la qualité pour recourir, du délai de recours, des conclusions prises par la recourante ou encore du grief soulevé dans le mémoire de recours, aucune de ces conditions de recevabilité ne fait problème en l'espèce. Rien ne s'oppose donc à l'entrée en matière.</w:t>
      </w:r>
    </w:p>
    <w:p>
      <w:r>
        <w:t>Une précision s'impose, toutefois, en ce qui concerne la motivation du recours. En vertu de l' art. 77 al. 3 LTF combiné avec l' art. 42 al. 1 et 2 LTF , le Tribunal fédéral n'examine que les griefs qui ont été invoqués et motivés dans l'acte de recours. Partant, lorsqu'un échange ultérieur d'écritures a été ordonné, contrairement à la règle générale de l' art. 102 al. 3 LTF , la partie recourante ne peut se servir de la réplique ni pour invoquer des moyens, de fait ou de droit, qu'elle n'avait pas présentés en temps utile, c'est-à-dire avant l'expiration du délai de recours non prolongeable ( art. 100 al. 1 LTF en liaison avec l' art. 47 al. 1 LTF ), ni pour compléter, hors délai, une motivation insuffisante (arrêt 4A_544/2014 du 24 février 2015 consid. 2.4; arrêt 4A_199/2014 du 8 octobre 2014 consid. 3.1). En l'espèce, la recourante ne se conforme guère à ce principe jurisprudentiel, qui, sous prétexte de réfuter les arguments développés par l'intimée dans sa réponse au recours, saisit, en réalité, cette occasion pour compléter, dans sa réplique, en particulier sous ch. 19 à 38 de cette écriture, la motivation relativement sommaire de son mémoire de recours. Aussi, dans cette mesure, ses explications ne pourront-elles pas être prises en considération.</w:t>
      </w:r>
    </w:p>
    <w:p>
      <w:r>
        <w:rPr>
          <w:b/>
        </w:rPr>
        <w:t>E. 2</w:t>
      </w:r>
    </w:p>
    <w:p>
      <w:r>
        <w:t>Dans un unique moyen, la recourante, invoquant l' art. 190 al. 2 let . d LDIP, reproche à l'arbitre d'avoir fondé sa sentence sur un motif juridique imprévisible pour les parties et d'avoir ainsi violé son droit d'être entendue.</w:t>
      </w:r>
    </w:p>
    <w:p>
      <w:r>
        <w:rPr>
          <w:b/>
        </w:rPr>
        <w:t>E. 2.1</w:t>
      </w:r>
    </w:p>
    <w:p>
      <w:r>
        <w:t>En Suisse, le droit d'être entendu se rapporte surtout à la constatation des faits. Le droit des parties d'être interpellées sur des questions juridiques n'est reconnu que de manière restreinte. En règle générale, selon l'adage</w:t>
      </w:r>
    </w:p>
    <w:p>
      <w:r>
        <w:t>jura novit curia , les tribunaux étatiques ou arbitraux apprécient librement la portée juridique des faits et ils peuvent statuer aussi sur la base de règles de droit autres que celles invoquées par les parties. En conséquence, pour autant que la convention d'arbitrage ne restreigne pas la mission du tribunal arbitral aux seuls moyens juridiques soulevés par les parties, celles-ci n'ont pas à être entendues de façon spécifique sur la portée à reconnaître aux règles de droit. A titre exceptionnel, il convient de les interpeller lorsque le juge ou le tribunal arbitral envisage de fonder sa décision sur une norme ou une considération juridique qui n'a pas été évoquée au cours de la procédure et dont les parties ne pouvaient pas supputer la pertinence ( ATF 130 III 35 consid. 5 et les références). Au demeurant, savoir ce qui est imprévisible est une question d'appréciation. Aussi le Tribunal fédéral se montre-t-il restrictif dans l'application de ladite règle pour ce motif et parce qu'il convient d'avoir égard aux particularités de ce type de procédure en évitant que l'argument de la surprise ne soit utilisé en vue d'obtenir un examen matériel de la sentence par l'autorité de recours (arrêt 4A_46/2011 du 16 mai 2011 consid. 5.1.1 et les arrêts cités).</w:t>
      </w:r>
    </w:p>
    <w:p>
      <w:r>
        <w:rPr>
          <w:b/>
        </w:rPr>
        <w:t>E. 2.2</w:t>
      </w:r>
    </w:p>
    <w:p>
      <w:r>
        <w:t>S'agissant du cadre dans lequel le grief considéré doit être examiné, force est d'insister sur le fait que ce sont les règles du droit international privé suisse relatives à l'arbitrage international, telles que les interprète le Tribunal fédéral, en particulier l' art. 190 al. 2 let . d LDIP et la notion spécifique de l'imprévisibilité que la jurisprudence précitée en a tirée, qui sont déterminantes à cet égard. En d'autres termes, la question à résoudre n'est pas de savoir si les règles pertinentes du droit de procédure français applicables à l'arbitrage international constituent ou non des "exceptions d'ordre public du droit français", dont l'art. 59 de l'acte de mission imposait le respect à l'arbitre, ni, dans l'affirmative, si celui-ci les a violées. Elle ne consiste pas non plus à cerner la portée du devoir procédural fait aux parties par l'art. 64, susmentionné, de l'acte de mission. C'est le lieu de rappeler qu'une modalité prévue dans un règlement d'arbitrage, telle que celles qui ont été insérées dans l'acte de mission, ne devient pas un principe impératif de procédure du seul fait d'avoir été voulue par les parties et de présenter un caractère obligatoire pour le tribunal arbitral ( ATF 117 II 346 consid. 1b/aa). Du reste, si les parties étaient convenues de limiter la mission de l'arbitre, en dérogation à la règle</w:t>
      </w:r>
    </w:p>
    <w:p>
      <w:r>
        <w:t>jura novit curia , aux moyens juridiques qu'elles invoqueraient, ce qui ne ressort pas de manière suffisamment claire de l'art. 59 de l'acte de mission, le non-respect de cette limitation leur eût ouvert un recours au Tribunal fédéral au titre de l'incompétence de l'arbitre ( art. 190 al. 2 let. b LDIP ), voire à celui de la violation de la règle</w:t>
      </w:r>
    </w:p>
    <w:p>
      <w:r>
        <w:t>ne eat judex ultra petita partium ( art. 190 al. 2 let . c LDIP) - motifs de recours non invoqués par la recourante (cf. art. 77 al. 3 LTF ) -, mais non du chef de la violation du droit d'être entendu sanctionnée par l' art. 190 al. 2 let . d LDIP ( ATF 130 III 35 consid. 5 p. 39). Le présent examen ne portera pas davantage sur la manière dont l'arbitre a interprété et appliqué aux faits pertinents la notion de reconduction tacite du contrat, telle que l'entend le droit matériel français, dès lors que la méconnaissance du droit de fond appliqué par un tribunal arbitral ou un arbitre, fût-elle arbitraire, ne compte pas au nombre des motifs de recours limitativement énumérés à l' art. 190 al. 2 LDIP . Par conséquent, seule devra être tranchée, en l'occurrence, la question de savoir si l'arbitre a, oui ou non, fondé sa sentence sur un motif juridique imprévisible pour les parties.</w:t>
      </w:r>
    </w:p>
    <w:p>
      <w:r>
        <w:rPr>
          <w:b/>
        </w:rPr>
        <w:t>E. 2.3.1</w:t>
      </w:r>
    </w:p>
    <w:p>
      <w:r>
        <w:t>Selon la recourante, l'intimée était d'avis que le contrat avait pris fin le 30 juin 2008, mais qu'en vertu de son art. 5.1, certaines de ses clauses avaient survécu à son expiration, en particulier son art. 3.2.1 touchant la rémunération de l'intimée pour l'assistance particulière fournie par cette dernière relativement à divers projets arrivés à maturation postérieurement à cette date. Pour sa part, elle avait soutenu tout au long de la procédure arbitrale avoir valablement mis fin au contrat au moyen de sa lettre de résiliation du 22 avril 2008 et n'avoir signé les fiches d'application litigieuses qu'en date du 28 octobre 2008, acte qui ne pouvait avoir eu pour conséquence de réactiver l'art. 5.1 du contrat échu. Au demeurant, à en croire la recourante, aucune prestation réelle n'ayant été effectuée par l'intimée dans le cadre du projet du port de Cotonou, cette dernière ne pouvait prétendre à une quelconque rémunération de ce chef.</w:t>
      </w:r>
    </w:p>
    <w:p>
      <w:r>
        <w:t>A la clôture des débats du 30 avril 2014, les parties, de l'avis de la recourante, étaient d'accord pour dire que le contrat avait expiré le 30 juin 2008; que la rémunération réclamée par l'intimée était fondée sur l'extension de la durée de cette convention au projet particulier du port de Cotonou en application de l'art. 5.1 du contrat; que le différend les opposant portait ainsi sur l'applicabilité de cette clause en dépit du fait que la fiche d'application relative à ce projet avait été signée postérieurement à l'expiration du contrat. A cet égard, seules deux issues étaient possibles, à en croire la recourante: soit la demande de l'intimée devait être admise au motif que les parties étaient tombées d'accord, avant l'expiration du contrat, pour confier à l'intimée une mission en rapport avec le projet en question et s'étaient engagées à respecter les dispositions du contrat au-delà de son terme, conformément à son art. 5.1; soit l'intimée devait être déboutée de sa demande parce que la recourante n'avait pas chargé l'intimée, avant l'expiration du contrat, de l'assister en rapport avec ledit projet, de sorte que l'art. 5.1 du contrat ne s'appliquait pas.</w:t>
      </w:r>
    </w:p>
    <w:p>
      <w:r>
        <w:t>Or, toujours selon la recourante, au lieu de choisir entre l'une de ces deux alternatives, l'arbitre a opté pour une troisième solution consistant à retenir que le contrat avait été reconduit tacitement par des actes concluants postérieurement au 30 juin 2008. Il aurait ainsi violé son droit d'être entendue en la privant de la possibilité de faire valoir de solides arguments juridiques qu'elle aurait pu opposer à la thèse de la reconduction tacite du contrat, les conditions fixées par le droit français pour admettre semblable prolongation de la durée des rapports contractuels n'étant pas remplies en l'espèce.</w:t>
      </w:r>
    </w:p>
    <w:p>
      <w:r>
        <w:rPr>
          <w:b/>
        </w:rPr>
        <w:t>E. 2.3.2</w:t>
      </w:r>
    </w:p>
    <w:p>
      <w:r>
        <w:t>L'argumentation détaillée de la recourante, telle qu'elle a été résumée ci-dessus, n'est apparue, faut-il le préciser, que dans la réplique déposée le 17 novembre 2014 par l'intéressée. Elle est venue étayer les explications pour le moins sommaires figurant aux pages 15 à 18 du mémoire de recours. Aussi peut-on déjà hésiter à la prendre en considération au regard de la jurisprudence susmentionnée relative au contenu de la réplique (cf. consid. 1 ci-dessus).</w:t>
      </w:r>
    </w:p>
    <w:p>
      <w:r>
        <w:t>Quoi qu'il en soit, la recourante n'est pas crédible lorsqu'elle assimile la présente affaire à "un véritable cas d'école d'imprévisibilité" (recours, n. 85). Force est d'admettre, bien au contraire, qu'elle plaide manifestement en vain l'effet de surprise. La seule chose qui puisse lui être concédée, avec l'intimée d'ailleurs (réponse, p. 13, 5e §), c'est le fait que l'expression "reconduction tacite" n'apparaît explicitement dans aucune des différentes écritures de son adverse partie. Pour le surplus, la recourante ne saurait faire valoir de bonne foi qu'elle était bien loin d'imaginer que l'arbitre puisse fonder sa sentence sur cette figure juridique.</w:t>
      </w:r>
    </w:p>
    <w:p>
      <w:r>
        <w:t>La recourante est une société commerciale qui a son siège en France. Intervenant sur de nombreux marchés, tant nationaux qu'internationaux, comme entreprise générale, dans son domaine de spécialisation, elle est rompue aux affaires et dispose d'un service juridique interne. Il va de soi que la conclusion de contrats est chose courante pour une telle société et que les conditions d'extinction de ceux-ci constituent, elles aussi, une question récurrente. Dans la procédure arbitrale en cause, l'intéressée a bénéficié de l'assistance de deux conseils, avocats au barreau de Paris. Le différend qui l'opposait à l'intimée devait être résolu à la lumière du droit matériel français. C'est dire que, dans un tel contexte, les règles de droit applicables à la solution du litige ne pouvaient qu'être familières à cette partie ou, du moins, à ses mandataires.</w:t>
      </w:r>
    </w:p>
    <w:p>
      <w:r>
        <w:t>Il faut, en outre, garder à l'esprit que le problème juridique à résoudre en l'espèce portait sur un objet assez limité puisqu'il s'agissait pour l'arbitre de déterminer, au regard du droit français, si les effets du contrat avaient survécu au terme extinctif survenu le 30 juin 2008. A vrai dire, cet objet était même plus restreint que cela dès lors que l'intimée ne plaidait pas la survivance du contrat dans son intégralité, mais uniquement de ses clauses concernant l'assistance particulière projet par projet. Les fondements juridiques possibles, sur lesquels asseoir la poursuite partielle des rapports contractuels au-delà du terme assigné initialement à ceux-ci, n'étaient donc pas légion, et l'hypothèse d'une reconduction tacite des clauses du contrat afférentes à l'assistance particulière ne pouvait pas être écartée d'emblée par un plaideur prudent, assisté d'hommes de loi connaissant les arcanes du droit applicable. Semblable hypothèse n'était certes pas inhérente à l'argumentation développée au début du procès par l'intimée. En effet, celle-ci soutenait, alors, que les parties étaient expressément convenues de la poursuite de leurs relations contractuelles concernant l'assistance particulière à fournir à la recourante, et elle en voulait pour preuve le fait que cette dernière avait signé les fiches d'application ad hoc avant la date d'extinction du contrat. Cependant, après qu'il était apparu que ces fiches avaient, en réalité, été signées postérieurement à cette date-là, l'intimée avait fait valoir que pareille circonstance n'empêchait pas d'admettre que les rapports contractuels s'étaient poursuivis au-delà du 30 juin 2008 et qu'il y avait ainsi matière à appliquer les dispositions pertinentes du contrat pour la rémunération des services qu'elle avait fournis à la recourante, au titre de l'assistance particulière, une fois le contrat échu. Or, cette nouvelle argumentation devait immanquablement susciter des interrogations sur le point de savoir comment des actes effectués après l'extinction du contrat avaient pu faire revivre celui-ci</w:t>
      </w:r>
    </w:p>
    <w:p>
      <w:r>
        <w:t>in parte qua . Et la reconduction tacite partielle du contrat comptait sans aucun doute au nombre des figures juridiques qui pouvaient, a priori, permettre de répondre à cette question.</w:t>
      </w:r>
    </w:p>
    <w:p>
      <w:r>
        <w:t>En tout état de cause, le fait, pour l'arbitre, d'avoir fondé sa sentence sur cette figure juridique ne saurait être sanctionné au titre de la violation du droit d'être entendu et, plus précisément, sous l'angle de l'imprévisibilité au sens - restrictif - que la jurisprudence fédérale attribue à cette notion.</w:t>
      </w:r>
    </w:p>
    <w:p>
      <w:r>
        <w:t>Dans ces conditions, l'unique moyen soulevé par la recourante tombe à faux, ce qui entraîne le rejet du recours.</w:t>
      </w:r>
    </w:p>
    <w:p>
      <w:r>
        <w:rPr>
          <w:b/>
        </w:rPr>
        <w:t>E. 3</w:t>
      </w:r>
    </w:p>
    <w:p>
      <w:r>
        <w:t>La recourante, qui succombe, devra payer les frais de la procédure fédérale ( art. 66 al. 1 LTF ) et verser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