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553/2023 vom 15. Dezember 2023</w:t>
      </w:r>
    </w:p>
    <w:p>
      <w:r>
        <w:t>Bundesgericht, 2023-12-15, DE</w:t>
      </w:r>
    </w:p>
    <w:p>
      <w:r>
        <w:rPr>
          <w:b/>
        </w:rPr>
        <w:t xml:space="preserve">Quelle: </w:t>
      </w:r>
      <w:r>
        <w:t>https://mcp.opencaselaw.ch/entscheid/bger_4A_553_2023</w:t>
      </w:r>
    </w:p>
    <w:p>
      <w:r>
        <w:t>FR: TF 4A 553/2023 du 15 décembre 2023</w:t>
      </w:r>
    </w:p>
    <w:p>
      <w:r>
        <w:t>IT: TF 4A 553/2023 del 15 dicembre 2023</w:t>
      </w:r>
    </w:p>
    <w:p>
      <w:pPr>
        <w:pStyle w:val="Heading2"/>
      </w:pPr>
      <w:r>
        <w:t>Regeste</w:t>
      </w:r>
    </w:p>
    <w:p>
      <w:r>
        <w:t>Mietvertrag, | Vertragsrecht</w:t>
      </w:r>
    </w:p>
    <w:p>
      <w:pPr>
        <w:pStyle w:val="Heading2"/>
      </w:pPr>
      <w:r>
        <w:t>Erwägungen</w:t>
      </w:r>
    </w:p>
    <w:p>
      <w:r>
        <w:rPr>
          <w:b/>
        </w:rPr>
        <w:t>E. 1</w:t>
      </w:r>
    </w:p>
    <w:p>
      <w:r>
        <w:t>Mit Eingabe vom 16. Mai 2023 reichte der Beschwerdeführer beim Bezirksgericht Bremgarten eine Aberkennungsklage gegen den Beschwerdegegner ein. Mit Verfügung vom 30. Mai 2023 forderte der Präsident des Bezirksgerichts Bremgarten den Beschwerdeführer zur Leistung eines Kostenvorschusses von Fr. 2'570.-- auf. Mit Eingabe vom 9. Juni 2023 beantragte der Beschwerdeführer dem Bezirksgericht, das Verfahren mit demjenigen, das von seinem Bruder gegen den Beschwerdegegner eingeleitet wurde, zu vereinigen, es sei ihm die unentgeltliche Rechtspflege zu gewähren und das Verfahren zu sistieren. Mit Verfügung vom 14. Juni 2023 wies der Präsident des Bezirksgerichts den Antrag auf Vereinigung der Verfahren und den Sistierungsantrag ab, befreite den Beschwerdeführer aber von der Leistung eines Kostenvorschusses. Mit Verfügung vom 16. Juni 2023 bewilligte der Präsident des Bezirksgerichts dem Beschwerdeführer die unentgeltliche Rechtspflege. Mit Entscheid vom 2. Oktober 2023 wies das Obergericht des Kantons Aargau eine vom Beschwerdeführer gegen die Verfügung vom 14. Juni 2023 erhobene Beschwerde ab, soweit es darauf eintrat. Mit Eingabe vom 15. November 2023 erklärte der Beschwerdeführer dem Bundesgericht, den Entscheid des Obergerichts des Kantons Aargau vom 2. Oktober 2023 mit Beschwerde anfechten zu wollen. Mit Eingabe vom 5. Dezember 2023 ersuchte der Beschwerdeführer um Gewährung der unentgeltlichen Rechtspflege für das bundesgerichtliche Verfahren. Es wurden keine Vernehmlassungen eingeholt.</w:t>
      </w:r>
    </w:p>
    <w:p>
      <w:r>
        <w:rPr>
          <w:b/>
        </w:rPr>
        <w:t>E. 2</w:t>
      </w:r>
    </w:p>
    <w:p>
      <w:r>
        <w:t>Das Bundesgericht prüft von Amtes wegen und mit freier Kognition, ob ein Rechtsmittel zulässig ist ( Art. 29 Abs. 1 BGG ; BGE 148 IV 155 E. 1.1 ; 145 I 121 E. 1; 143 III 140 E. 1).</w:t>
      </w:r>
    </w:p>
    <w:p>
      <w:r>
        <w:rPr>
          <w:b/>
        </w:rPr>
        <w:t>E. 2.1</w:t>
      </w:r>
    </w:p>
    <w:p>
      <w:r>
        <w:t>Gegen selbstständig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 Die selbstständige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Beim angefochtenen Entscheid des Obergerichts des Kantons Aargau vom 2. Oktober 2023 handelt es sich um einen Zwischenentscheid, gegen den die Beschwerde nach Art. 93 Abs. 1 lit. a BGG nur zulässig ist, wenn der Entscheid einen nicht wieder gutzumachenden Nachteil bewirken kann (die Ausnahme von Art. 93 Abs. 1 lit. b BGG fällt ausser Betracht). Mit den Vorbringen, das Verfahren werde verlängert, es würde unnötiger Aufwand entstehen bzw. er würde "unnötig um Lebenszeit gebracht", zeigt der Beschwerdeführer keinen Nachteil rechtlicher Natur auf, der auch durch einen für ihn günstigen Entscheid in der Zukunft nicht mehr behoben werden könnte. Die Eintretensvoraussetzungen sind daher offensichtlich nicht erfüllt. Auf die Beschwerde ist im vereinfachten Verfahren nach Art. 108 Abs. 1 lit. a BGG nicht einzutreten.</w:t>
      </w:r>
    </w:p>
    <w:p>
      <w:r>
        <w:rPr>
          <w:b/>
        </w:rPr>
        <w:t>E. 3</w:t>
      </w:r>
    </w:p>
    <w:p>
      <w:r>
        <w:t>Das Gesuch um Gewährung der unentgeltlichen Rechtspflege für das bundesgerichtliche Verfahren ist bereits wegen Aussichtslosigkeit abzuweisen ( Art. 64 Abs. 1 BGG ). Der Beschwerdeführer wird bei diesem Verfahrensausgang kostenpflichtig ( Art. 66 Abs. 1 BGG ). Dem Beschwerdegegner steht keine Parteientschädigung zu,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