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4A_552/2024 vom 27. Januar 2025</w:t>
      </w:r>
    </w:p>
    <w:p>
      <w:r>
        <w:t>Bundesgericht, 2025-01-27, DE</w:t>
      </w:r>
    </w:p>
    <w:p>
      <w:r>
        <w:rPr>
          <w:b/>
        </w:rPr>
        <w:t xml:space="preserve">Quelle: </w:t>
      </w:r>
      <w:r>
        <w:t>https://mcp.opencaselaw.ch/entscheid/bger_4A_552_2024</w:t>
      </w:r>
    </w:p>
    <w:p>
      <w:r>
        <w:t>FR: TF 4A_552/2024 du 27 janvier 2025</w:t>
      </w:r>
    </w:p>
    <w:p>
      <w:r>
        <w:t>IT: TF 4A_552/2024 del 27 gennaio 2025</w:t>
      </w:r>
    </w:p>
    <w:p>
      <w:pPr>
        <w:pStyle w:val="Heading2"/>
      </w:pPr>
      <w:r>
        <w:t>Erwägungen</w:t>
      </w:r>
    </w:p>
    <w:p>
      <w:r>
        <w:rPr>
          <w:b/>
        </w:rPr>
        <w:t>E. 1</w:t>
      </w:r>
    </w:p>
    <w:p>
      <w:r>
        <w:t>Mit Entscheid vom 8. April 2024 erteilte das Zivilgericht Basel-Stadt der Beschwerdegegnerin in der Betreibung Nr. xxx des Betreibungsamtes Basel-Stadt für Fr. 42'545.80 die definitive Rechtsöffnung. Auf die dagegen vom Beschwerdeführer erhobene Beschwerde trat das Appellationsgericht des Kantons Basel-Stadt mit Entscheid vom 11. September 2024 nicht ein, da der Beschwerdeführer den Kostenvorschuss auch innert Nachfrist nicht geleistet hatte. Gegen diesen Entscheid des Appellationsgerichts erhebt der Beschwerdeführer mit Eingabe vom 16. Oktober 2024 Beschwerde an das Bundesgericht. Auf das Einholen von Vernehmlassungen zur Beschwerde wurde verzichtet.</w:t>
      </w:r>
    </w:p>
    <w:p>
      <w:r>
        <w:rPr>
          <w:b/>
        </w:rPr>
        <w:t>E. 2.1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Rechte die Vorinstanz mit ihrem Entscheid inwiefern verletzt haben soll. Auf die Beschwerde ist somit mangels hinreichender Begründung nicht einzutreten ( Art. 108 Abs. 1 lit. b BGG ).</w:t>
      </w:r>
    </w:p>
    <w:p>
      <w:r>
        <w:rPr>
          <w:b/>
        </w:rPr>
        <w:t>E. 4</w:t>
      </w:r>
    </w:p>
    <w:p>
      <w:r>
        <w:t>Bei diesem Ausgang des Verfahrens sind die Gerichtskosten dem Beschwerdeführer aufzuerlegen ( Art. 66 Abs. 1 BGG ). Der Beschwerdegegnerin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