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4A_552/2023 vom 18. März 2024</w:t>
      </w:r>
    </w:p>
    <w:p>
      <w:r>
        <w:t>Bundesgericht, 2024-03-18, FR</w:t>
      </w:r>
    </w:p>
    <w:p>
      <w:r>
        <w:rPr>
          <w:b/>
        </w:rPr>
        <w:t xml:space="preserve">Quelle: </w:t>
      </w:r>
      <w:r>
        <w:t>https://mcp.opencaselaw.ch/entscheid/bger_4A_552_2023</w:t>
      </w:r>
    </w:p>
    <w:p>
      <w:r>
        <w:t>FR: TF 4A_552/2023 du 18 mars 2024</w:t>
      </w:r>
    </w:p>
    <w:p>
      <w:r>
        <w:t>IT: TF 4A_552/2023 del 18 marzo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dans les mémoires qu'elles ont adressés au Tribunal fédéral, les parties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Aucune des parties n'avait son domicile respectivement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conditions de recevabilité ne fait problème en l'espèce, nonobstant les dénégations de l'intimé n. 1.</w:t>
      </w:r>
    </w:p>
    <w:p>
      <w:r>
        <w:rPr>
          <w:b/>
        </w:rPr>
        <w:t>E. 4.1</w:t>
      </w:r>
    </w:p>
    <w:p>
      <w:r>
        <w:t>Le recours en matière d'arbitrage international ne peut être formé que pour l'un des motifs énumérés de manière exhaustive à l' art. 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(arrêts 4A_7/2019 du 21 mars 2019 consid. 2; 4A_378/2015 du 22 septembre 2015 consid. 3.1).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la partie recourante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le recourant, invoquant l' art. 190 al. 2 let . c LDIP, reproche à la Formation d'avoir statué</w:t>
      </w:r>
    </w:p>
    <w:p>
      <w:r>
        <w:t>extra petita et</w:t>
      </w:r>
    </w:p>
    <w:p>
      <w:r>
        <w:t>ultra petita .</w:t>
      </w:r>
    </w:p>
    <w:p>
      <w:r>
        <w:rPr>
          <w:b/>
        </w:rPr>
        <w:t>E. 5.1</w:t>
      </w:r>
    </w:p>
    <w:p>
      <w:r>
        <w:t>L' art. 190 al. 2 let . c LDIP permet d'attaquer une sentence lorsque le tribunal arbitral a statué au-delà des demandes dont il était saisi ou lorsqu'il a omis de se prononcer sur un des chefs de la demande. Tombent sous le coup de cette disposition les sentences qui allouent plus ou autre chose que ce qui a été demandé (</w:t>
      </w:r>
    </w:p>
    <w:p>
      <w:r>
        <w:t>ultra ou extra petita ). Selon la jurisprudence, le tribunal arbitral ne statue pas au-delà des demandes (principales et/ou reconventionnelles) s'il n'alloue en définitive pas plus que le montant total réclamé par la partie concernée, mais apprécie certains des éléments de la réclamation autrement que ne l'a fait cette partie. Il ne statue ni</w:t>
      </w:r>
    </w:p>
    <w:p>
      <w:r>
        <w:t>ultra ni</w:t>
      </w:r>
    </w:p>
    <w:p>
      <w:r>
        <w:t>extra petita s'il donne à une demande une autre qualification juridique que celle qui a été présentée par une partie (arrêts 4A_430/2020 du 10 février 2021 consid. 6.1; 4A_244/2020 du 16 décembre 2020 consid. 5.1 et les références citées).</w:t>
      </w:r>
    </w:p>
    <w:p>
      <w:r>
        <w:rPr>
          <w:b/>
        </w:rPr>
        <w:t>E. 5.2</w:t>
      </w:r>
    </w:p>
    <w:p>
      <w:r>
        <w:t>Pour étayer son grief, le recourant fait valoir que la CRL l'a notamment condamné à payer à l'intimé n. 1 un montant</w:t>
      </w:r>
    </w:p>
    <w:p>
      <w:r>
        <w:t>brut de 2'527'222 euros, intérêts en sus, à titre d'indemnité pour rupture du contrat de travail sans juste cause. Devant le TAS, il rappelle avoir conclu, principalement, à l'annulation de la décision rendue par la CRL aux fins de faire constater le caractère justifié du licenciement et d'obtenir le paiement de dommages-intérêts. L'intéressé expose en outre avoir requis du TAS, à titre subsidiaire, que celui-ci déduise de toute indemnité brute éventuellement allouée à l'intimé n. 1 les taxes pour un taux total de 45 % ("In any case, specify that from any GROSS compensation awarded to the Player the Club has to deduct taxes at the total rate of 45 %"; sentence, n. 98). Il souligne que l'intimé n. 1, de son côté, a conclu au rejet de l'appel et à la confirmation de la décision rendue par la CRL. Le recourant expose que la Formation l'a condamné à payer à l'intimé n. 1 un montant de 1'945'103.69 euros, à titre d'indemnité pour rupture injustifiée des rapports de travail, mais sans préciser qu'il s'agissait d'une somme brute. En supprimant dans le dispositif de sa sentence le terme "brut" qui figurait pourtant dans la décision rendue par la CRL (chiffre 3), le TAS aurait ainsi implicitement reconnu qu'il s'agissait d'un montant net, sans déduction possible. A en croire le recourant, la Formation aurait dès lors statué</w:t>
      </w:r>
    </w:p>
    <w:p>
      <w:r>
        <w:t>extra petita puisqu'elle aurait accordé à l'intimé n. 1 autre chose que ce qui était demandé par l'ensemble des parties, en changeant la "nature" de l'indemnité litigieuse. L'intéressé soutient aussi que le TAS aurait statué</w:t>
      </w:r>
    </w:p>
    <w:p>
      <w:r>
        <w:t>ultra petita , en allouant un montant "qui pourrait s'avérer en définitive plus élevé que celui réclamé", si d'aventure il devait être contraint par les autorités égyptiennes à payer un impôt sur le revenu en lien avec l'indemnité octroyée à l'intimé n. 1 pour la rupture injustifiée du contrat de travail.</w:t>
      </w:r>
    </w:p>
    <w:p>
      <w:r>
        <w:rPr>
          <w:b/>
        </w:rPr>
        <w:t>E. 5.3</w:t>
      </w:r>
    </w:p>
    <w:p>
      <w:r>
        <w:t>Semblable argumentation n'emporte pas la conviction de la Cour de céans.</w:t>
      </w:r>
    </w:p>
    <w:p>
      <w:r>
        <w:t>Contrairement à ce que tente de faire accroire le recourant, le TAS n'a nullement statué</w:t>
      </w:r>
    </w:p>
    <w:p>
      <w:r>
        <w:t>extra petita , en changeant prétendument la "nature" de l'indemnité allouée à l'intimé n. 1. Il a uniquement examiné, dans le respect des conclusions qui lui étaient soumises, si le footballeur pouvait prétendre à un dédommagement en raison d'une éventuelle rupture du contrat de travail sans juste cause, et dans l'affirmative quel devait en être le montant. Que la Formation ait par hypothèse décidé d'octroyer à l'intéressé un montant net en lieu et place d'une somme brute ne signifie pas encore qu'elle aurait statué</w:t>
      </w:r>
    </w:p>
    <w:p>
      <w:r>
        <w:t>extra petita . Loin de sortir du cadre tracé par les conclusions des parties, le TAS a en réalité examiné à bon droit si, comme l'avait soutenu le recourant dans ses conclusions subsidiaires, il convenait d'opérer une retenue à hauteur de 45 % - ladite retenue incluant notamment un éventuel impôt égyptien sur les revenu de 25 % - sur les montants alloués à l'intimé n. 1. Après avoir examiné cette question par le menu, il a jugé que tel n'était pas le cas (sentence, n. 279-299).</w:t>
      </w:r>
    </w:p>
    <w:p>
      <w:r>
        <w:t>Le recourant ne peut pas davantage être suivi lorsqu'il prétend que la Formation aurait statué</w:t>
      </w:r>
    </w:p>
    <w:p>
      <w:r>
        <w:t>ultra petita . Le TAS, saisi de conclusions tendant, d'une part, à l'annulation de la décision rendue par la CRL et, d'autre part, à la confirmation de celle-ci, a en réalité, statué</w:t>
      </w:r>
    </w:p>
    <w:p>
      <w:r>
        <w:t>infra petita , puisqu'il a partiellement fait droit à l'appel et accordé un montant sensiblement inférieur à celui alloué par la CRL (1'945'103.69 euros vs 2'527'222 euros). Le recourant prétend certes, en employant à plusieurs reprises le conditionnel, que le montant brut de 2'527'222 euros pourrait se révéler supérieur à une indemnité nette de 1'945'103.69 euros. Pareil argument relève toutefois à ce stade de la simple conjecture sur l'avenir, nonobstant les dénégations du recourant à cet égard. En tout état de cause, on relèvera que le montant alloué par le TAS à titre de compensation pour rupture du contrat sans juste cause est de toute manière inférieur à la prétention élevée par l'intimé n. 1 dans le cadre de sa demande reconventionnelle formée devant la CRL, étant donné qu'il avait conclu au paiement d'un montant</w:t>
      </w:r>
    </w:p>
    <w:p>
      <w:r>
        <w:t>net de 2'250'000 euros à ce titre (cf. sentence, n. 64).</w:t>
      </w:r>
    </w:p>
    <w:p>
      <w:r>
        <w:rPr>
          <w:b/>
        </w:rPr>
        <w:t>E. 6</w:t>
      </w:r>
    </w:p>
    <w:p>
      <w:r>
        <w:t>Au vu de ce qui précède, le recours ne peut qu'être rejeté. Le recourant, qui succombe, supportera les frais de la présente procédure ( art. 66 al. 1 LTF ) et versera des dépens à l'intimé n. 1 ( art. 68 al. 1 et 2 LTF ). L'intimé n. 2, qui ne s'est pas déterminé sur le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