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4A_552/2013 vom 4. März 2014</w:t>
      </w:r>
    </w:p>
    <w:p>
      <w:r>
        <w:t>Bundesgericht, 2014-03-04, FR</w:t>
      </w:r>
    </w:p>
    <w:p>
      <w:r>
        <w:rPr>
          <w:b/>
        </w:rPr>
        <w:t xml:space="preserve">Quelle: </w:t>
      </w:r>
      <w:r>
        <w:t>https://mcp.opencaselaw.ch/entscheid/bger_4A_552_2013</w:t>
      </w:r>
    </w:p>
    <w:p>
      <w:r>
        <w:t>FR: TF 4A_552/2013 du 4 mars 2014</w:t>
      </w:r>
    </w:p>
    <w:p>
      <w:r>
        <w:t>IT: TF 4A_552/2013 del 4 marzo 2014</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recevable, puisqu'il a été déposé dans le délai ( art. 100 al. 1 LTF ) et la forme ( art. 42 LTF ) prévus par la loi.</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1.3</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w:t>
      </w:r>
    </w:p>
    <w:p>
      <w:r>
        <w:t>Dans l'arrêt déféré, les juges cantonaux ont retenu que l'absence de réaction formelle de la part de l'employé à la réduction de son salaire par l'employeuse dès le mois d'avril 2009 trouvait sa justification dans les procédures d'opposition et de recours menées conjointement avec celle-ci à l'encontre de la décision de la CNA. Selon ces magistrats, en attendant l'issue du litige, le travailleur était fondé à considérer la réduction de sa rémunération comme provisoire et l'employeuse ne pouvait pas inférer de son silence, ni même du fait que ce dernier n'avait pas émis de réserve expresse en cas de décision en sa défaveur, qu'il avait consenti à la réduction salariale. A cela s'ajoute le fait que l'employeuse a payé à nouveau le salaire initial dès septembre 2010, d'abord sous la forme (partielle) d'avances, puis sans restriction dès mai 2011. Les juges cantonaux en déduisent, avec les premiers juges, que cela suffit à contredire la thèse de l'employeuse selon laquelle l'employé a tacitement consenti à la baisse du salaire, dès l'instant où l'on ne verrait pas pour quelles raisons l'employeuse aurait derechef payé le salaire initial, si sa réduction avait été tacitement convenue . Du reste, l'employeuse n'a jamais demandé rétrocession des avances de salaire consenties.</w:t>
      </w:r>
    </w:p>
    <w:p>
      <w:r>
        <w:rPr>
          <w:b/>
        </w:rPr>
        <w:t>E. 3</w:t>
      </w:r>
    </w:p>
    <w:p>
      <w:r>
        <w:t>La recourante reproche à la cour cantonale d'avoir inexactement établi les faits relatifs à l'évolution de l'état de santé de l'intimé et à celle de sa capacité de travail, qui ont fait l'objet d'observations de son médecin traitant. Prétendant que l'autorité cantonale n'a pas tenu compte de déclarations de témoins dont elle ne cite pas les noms ni de la « documentation » produite par l'intimé lui-même, elle requiert que l'état de fait soit complété sur ces points en application de l' art. 97 al. 1 LTF .</w:t>
      </w:r>
    </w:p>
    <w:p>
      <w:r>
        <w:rPr>
          <w:b/>
        </w:rPr>
        <w:t>E. 3.1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3.2</w:t>
      </w:r>
    </w:p>
    <w:p>
      <w:r>
        <w:t>La cour cantonale a retenu, au considérant 3c, p. 14 in medio, de l'arrêt attaqué, que la recourante n'a pas prouvé que la capacité de travail de l'intimé se serait modifiée dès septembre 2010.</w:t>
      </w:r>
    </w:p>
    <w:p>
      <w:r>
        <w:t>La recourante ne démontre pas l'arbitraire de ce constat. Elle se borne à présenter des critiques appellatoires, sans se référer à des éléments précisément désignés du dossier qui auraient été ignorés de manière insoutenable par les magistrats vaudois.</w:t>
      </w:r>
    </w:p>
    <w:p>
      <w:r>
        <w:t>De toute manière, l'évolution de la capacité de travail de l'intimé en fonction de son état de santé n'est pertinente pour le litige ( art. 97 al. 1 LTF ) qu'à supposer qu'une diminution consensuelle de son salaire ait été établie, ce qui n'est pas le cas, ainsi qu'on le verra ci-dessous.</w:t>
      </w:r>
    </w:p>
    <w:p>
      <w:r>
        <w:t>Le grief est irrecevable.</w:t>
      </w:r>
    </w:p>
    <w:p>
      <w:r>
        <w:rPr>
          <w:b/>
        </w:rPr>
        <w:t>E. 4</w:t>
      </w:r>
    </w:p>
    <w:p>
      <w:r>
        <w:t>Invoquant en vrac une violation des art. 2 CC , 8 CC et 320 CO, la recourante soutient que les juges cantonaux ont interprété erronément la volonté des parties, du moment que l'intimé, en entamant des démarches auprès de l'assurance sociale, a implicitement admis que sa partie adverse n'avait pas à assumer les conséquences économiques engendrées par son état de santé. Selon la recourante, les parties étaient unies dans le constat que le rendement de l'intimé était diminué de 30%; elle en déduit que la réduction de salaire, objectivement fondée, était l'expression de leur commune volonté.</w:t>
      </w:r>
    </w:p>
    <w:p>
      <w:r>
        <w:rPr>
          <w:b/>
        </w:rPr>
        <w:t>E. 4.1</w:t>
      </w:r>
    </w:p>
    <w:p>
      <w:r>
        <w:t>Le salaire régi par l' art. 322 al. 1 CO est une prestation en argent versée en contre-partie du travail fourni. Il s'agit d'un élément essentiel du contrat de travail. Selon l' art. 319 al. 1 CO , le salaire est fixé d'après le temps ou le travail fourni (salaire aux pièces ou à la tâche). Comme l' art. 322 CO est de droit dispositif, les parties peuvent, par un accord, décider de diminuer le salaire en cours de contrat, avant l'échéance du délai légal de congé. Un tel accord ne vaut toutefois que pour le futur et ne peut se rapporter à des prestations de travail déjà accomplies (arrêt 4A_511/2008 du 3 février 2009 consid. 5.1 et la référence).</w:t>
      </w:r>
    </w:p>
    <w:p>
      <w:r>
        <w:t>L'employeur ne peut réduire unilatéralement le salaire du travailleur sans que celui-ci ne donne son accord ou qu'une clause contractuelle le permette (arrêt 4A_608/2009 du 25 février 2010 consid. 3.1; RÉMY WYLER, Droit du travail, 2e éd. 2008, p. 176; WOLFGANG PORTMANN, in Basler Kommentar, Obligationenrecht I, 5e éd. 2011, n° 4 ad art. 322 CO ; JÜRG BRÜHWILER, Kommentar zum Einzelarbeitsvertag, 2e éd. 1996, p. 101; TERCIER/FAVRE, Les contrats spéciaux, 4e éd. 2009, n° 3420 p. 504). Une réduction unilatérale sans l'accord du travailleur constitue une inexécution partielle de l'obligation de payer le salaire ( BRÜHWILER, op. cit., p. 102).</w:t>
      </w:r>
    </w:p>
    <w:p>
      <w:r>
        <w:t>Au demeurant, même si les parties peuvent décider d'un commun accord, en cours de contrat, de diminuer le salaire pour le futur sans observer une quelconque forme (cf. arrêts 4A_608/2009 déjà cité, ibidem; 4C.242/2005 du 9 novembre 2005 consid. 4.3), un accord tacite,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du travailleur s'imposait en cas de désaccord de sa part. S'agissant du fardeau de la preuve, il appartient à l'employeur d'établir les circonstances particulières permettant d'admettre que le travailleur a consenti tacitement à une réduction de salaire (arrêts 4A_511/2008 déjà cité, ibidem; 4C.242/2005 du 9 novembre 2005 consid. 4.3).</w:t>
      </w:r>
    </w:p>
    <w:p>
      <w:r>
        <w:rPr>
          <w:b/>
        </w:rPr>
        <w:t>E. 4.2</w:t>
      </w:r>
    </w:p>
    <w:p>
      <w:r>
        <w:t>La recourante ne conteste pas que le salaire litigieux a été fixé au temps selon l' art. 319 al. 1 CO . Le salaire est donc dû, en principe, sans égard au résultat de l'activité déployée par le travailleur.</w:t>
      </w:r>
    </w:p>
    <w:p>
      <w:r>
        <w:t>Lorsque le travailleur subit une incapacité de travail suite à un accident, les indemnités journalières sont versées à l'employeur dans la mesure où il continue à payer un salaire à l'assuré malgré son droit à des indemnités journalières (art. 19 al. 2 de la loi fédérale sur la partie générale du droit des assurances sociales du 6 octobre 2000; LPGA, RS 830.1). Partant, la rémunération du travailleur à la charge de l'employeur s'en trouve réduite au plus dans la mesure des prescriptions - relativement impératives ( art. 362 CO ) - ancrées à l' art. 324b CO , sans que les conditions de salaire, telles qu'elles ressortent du contrat de travail, puissent apparaître modifiées pour autant.</w:t>
      </w:r>
    </w:p>
    <w:p>
      <w:r>
        <w:t>Lesdites conditions de salaire sont au demeurant déterminantes pour le calcul des indemnités journalières (art. 15 al. 1 et 2 de la loi fédérale sur l'assurance-accidents du 20 mars 1981; LAA, RS 832.20). Si, par la suite, l'assurance sociale, pour quelque motif que ce soit, met fin au service de telles prestations, l'employeur ne saurait se prévaloir du fait qu'il n'a supporté - temporairement - que partiellement la charge du salaire pour en déduire que le travailleur a consenti à une réduction de rémunération. En outre, si, comme en l'occurrence, le travailleur prétend qu'il continue à avoir droit à des prestations de l'assurance sociale, contre l'avis de cette dernière, et qu'il use des moyens légaux pour faire valoir ce droit, on ne saurait admettre un consentement de sa part à une réduction des conditions salariales découlant du contrat de travail.</w:t>
      </w:r>
    </w:p>
    <w:p>
      <w:r>
        <w:t>Le raisonnement des juges cantonaux, relaté au considérant 2 ci-dessus, est parfaitement conforme au droit fédéral.</w:t>
      </w:r>
    </w:p>
    <w:p>
      <w:r>
        <w:rPr>
          <w:b/>
        </w:rPr>
        <w:t>E. 5</w:t>
      </w:r>
    </w:p>
    <w:p>
      <w:r>
        <w:t>Le recours doit ainsi être rejeté dans la mesure où il est recevable.</w:t>
      </w:r>
    </w:p>
    <w:p>
      <w:r>
        <w:t>La recourante, qui succombe, supportera les frais judiciaires, réduits en vertu de l' art. 65 al. 4 let . c LTF, et versera des dépens à l'intimé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