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4A_551/2018 vom 3. Dezember 2019</w:t>
      </w:r>
    </w:p>
    <w:p>
      <w:r>
        <w:t>Bundesgericht, 2019-12-03, IT</w:t>
      </w:r>
    </w:p>
    <w:p>
      <w:r>
        <w:rPr>
          <w:b/>
        </w:rPr>
        <w:t xml:space="preserve">Quelle: </w:t>
      </w:r>
      <w:r>
        <w:t>https://mcp.opencaselaw.ch/entscheid/bger_4A_551_2018</w:t>
      </w:r>
    </w:p>
    <w:p>
      <w:r>
        <w:t>FR: TF 4A_551/2018 du 3 décembre 2019</w:t>
      </w:r>
    </w:p>
    <w:p>
      <w:r>
        <w:t>IT: TF 4A_551/2018 del 3 dicembre 2019</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concernente una controversia in materia di diritto del lavoro con un valore litigioso che supera la soglia fissata dall' art. 74 cpv. 1 lett. a LTF . Il ricorso è perciò in linea di principio ammissibile.</w:t>
      </w:r>
    </w:p>
    <w:p>
      <w:r>
        <w:rPr>
          <w:b/>
        </w:rPr>
        <w:t>E. 2</w:t>
      </w:r>
    </w:p>
    <w:p>
      <w:r>
        <w:t>Il Tribunale federale, pur applicando d'ufficio il diritto federale ( art. 106 cpv. 1 LTF ), considera di regola solo gli argomenti proposti nell'atto di ricorso ( DTF 140 III 86 consid. 2; 134 III 102 consid. 1.1) 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t>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 ricorrente non attesta arbitrio ( DTF 143 IV 500 consid. 1.1; 140 III 264 consid. 2.3, con rinvii).</w:t>
      </w:r>
    </w:p>
    <w:p>
      <w:r>
        <w:rPr>
          <w:b/>
        </w:rPr>
        <w:t>E. 3</w:t>
      </w:r>
    </w:p>
    <w:p>
      <w:r>
        <w:t>All'inizio del gravame il ricorrente si dilunga sull'asserito mancato rispetto di quanto concordato per il suo trasferimento alla succursale di Ginevra e su soprusi commessi in particolare da D.________, sentito quale teste. Egli lamenta che la Corte cantonale non ha tenuto conto di tali vicissitudini e avrebbe così emanato una sentenza basata su un'interpretazione fattuale sbagliata.</w:t>
      </w:r>
    </w:p>
    <w:p>
      <w:r>
        <w:t>Procedendo in tal modo il ricorrente disattende completamente le predette esigenze di motivazione. Al Tribunale federale, che non è un'autorità di prima istanza con piena cognizione, non vanno infatti semplicemente presentati i fatti con i relativi mezzi di prova. Per poter formulare un'ammissibile critica volta contro la fattispecie riportata nella sentenza impugnata, il ricorrente avrebbe dovuto indicare, con precisi riferimenti agli atti, dove avrebbe già sottoposto all'autorità inferiore i fatti - che peraltro non risultano nemmeno dal giudizio pretorile - di cui si prevale nel ricorso.</w:t>
      </w:r>
    </w:p>
    <w:p>
      <w:r>
        <w:rPr>
          <w:b/>
        </w:rPr>
        <w:t>E. 4</w:t>
      </w:r>
    </w:p>
    <w:p>
      <w:r>
        <w:t>Fulcro della controversia è sapere se, come sostenuto nel gravame, le parti abbiano concordato una liquidazione complessiva del lavoratore di fr. 500'000.--, da versare in due tranches. Il ricorrente, gravato dall'onere della prova, ritiene che egli abbia dimostrato tale accordo con la produzione di due scritti, ognuno attestante l'impegno della banca a pagare fr. 250'000.--. La Corte di appello ha invece ritenuto convincente la versione dell'opponente secondo cui il fatto che il ricorrente sia in possesso di entrambi gli scritti è frutto di un errore, perché la lettera indicante che le imposte sono a carico del lavoratore sostituisce quell'altra priva della menzionata aggiunta.</w:t>
      </w:r>
    </w:p>
    <w:p>
      <w:r>
        <w:rPr>
          <w:b/>
        </w:rPr>
        <w:t>E. 4.1</w:t>
      </w:r>
    </w:p>
    <w:p>
      <w:r>
        <w:t>Per giungere alla predetta conclusione l'autorità inferiore si è basata sulle deposizioni dei due impiegati della banca (D.________ e E.________), che hanno firmato le lettere di conferma del versamento e che hanno dichiarato di aver omesso per una grave leggerezza di inserire nel secondo scritto una clausola di annullamento del primo o di farsi restituire quest'ultimo; sulla checklist manoscritta dall'attore che questi ha consegnato alla banca e in cui figura unicamente un'indennità di partenza di fr. 250'000.--; e, infine, al tempo lasciato trascorrere tra il termine di pagamento e le azioni intraprese dal dipendente per tentare di ricevere il secondo versamento. Ha invece ritenuto che dalla mancata sottoscrizione della convenzione di uscita del 25 agosto 2011 non è possibile desumere il mancato consenso a ricevere una liquidazione di soli fr. 250'000.--, avendo il lavoratore ottenuto con la seconda convenzione di uscita e il contratto di consulenza annuale (" advisory mandate ") condizioni nettamente migliori a quelle inizialmente proposte.</w:t>
      </w:r>
    </w:p>
    <w:p>
      <w:r>
        <w:t>Il ricorrente sostiene che, contrariamente a quanto ritenuto dalla Corte cantonale, dalla mancata sottoscrizione della prima convenzione di uscita va dedotto il suo disaccordo per quanto attiene alla liquidazione ivi contenuta. La checklist, continua il ricorrente, non conteneva inoltre il risultato finale delle trattative, non essendo altrimenti credibile che l'opponente avesse proprio dimenticato la " specifica fiscale ". Sarebbe poi altrettanto inverosimile che due professionisti delle risorse umane abbiano commesso gli stessi grossolani errori, omettendo di annullare o farsi restituire lo scritto asseritamente sostituito. Afferma inoltre che attendere fino al termine del contratto per avanzare delle rivendicazioni verso il proprio datore di lavoro è del tutto usuale e di avere agito in tal modo a causa dei soprusi subiti e del consiglio ricevuto da un avvocato. Termina il proprio ricorso asserendo che la Corte cantonale non ha solo accertato i fatti in modo arbitrario, ma ha anche violato l' art. 1 CO , perché ha ritenuto che il contratto prevedesse un'indennità di soli fr. 250'000.--, e l' art. 18 CO , perché ha ignorato indizi e prove che avrebbero " portato alla concorde volontà delle parti in merito al contenuto della convenzione d'uscita ".</w:t>
      </w:r>
    </w:p>
    <w:p>
      <w:r>
        <w:rPr>
          <w:b/>
        </w:rPr>
        <w:t>E. 4.2</w:t>
      </w:r>
    </w:p>
    <w:p>
      <w:r>
        <w:t>In concreto giova innanzi tutto osservare che la Corte cantonale ha considerato che, di fronte alla prova fornita dal ricorrente con le due note lettere, l'opponente è riuscita ad apportare con successo la controprova sul reale ammontare della prestazione d'uscita. Si tratta pertanto di una questione di apprezzamento delle prove, ragione per cui il richiamo alle summenzionate due disposizioni del CO si rivela inconferente.</w:t>
      </w:r>
    </w:p>
    <w:p>
      <w:r>
        <w:t>Quanto precede è pure implicitamente riconosciuto nel gravame in esame, atteso che esso è essenzialmente incentrato sulla critica della valutazione delle prove agli atti. Il ricorrente si limita tuttavia a proporre una propria lettura delle risultanze probatorie, per altro non solo in larghissima misura appellatoria, ma pure in parte basata su fatti non risultanti dalla sentenza impugnata (v. consid. 3), senza riuscire a far apparire insostenibile quella della Corte cantonale.</w:t>
      </w:r>
    </w:p>
    <w:p>
      <w:r>
        <w:rPr>
          <w:b/>
        </w:rPr>
        <w:t>E. 5</w:t>
      </w:r>
    </w:p>
    <w:p>
      <w:r>
        <w:t>Da quanto precede discende che il ricorso, nella ridotta misura in cui è ammissibile, si rivela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