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551/2010 vom 2. Dezember 2010</w:t>
      </w:r>
    </w:p>
    <w:p>
      <w:r>
        <w:t>Bundesgericht, 2010-12-02, FR</w:t>
      </w:r>
    </w:p>
    <w:p>
      <w:r>
        <w:rPr>
          <w:b/>
        </w:rPr>
        <w:t xml:space="preserve">Quelle: </w:t>
      </w:r>
      <w:r>
        <w:t>https://mcp.opencaselaw.ch/entscheid/bger_4A_551_2010</w:t>
      </w:r>
    </w:p>
    <w:p>
      <w:r>
        <w:t>FR: TF 4A 551/2010 du 2 décembre 2010</w:t>
      </w:r>
    </w:p>
    <w:p>
      <w:r>
        <w:t>IT: TF 4A 551/2010 del 2 dicembre 2010</w:t>
      </w:r>
    </w:p>
    <w:p>
      <w:pPr>
        <w:pStyle w:val="Heading2"/>
      </w:pPr>
      <w:r>
        <w:t>Regeste</w:t>
      </w:r>
    </w:p>
    <w:p>
      <w:r>
        <w:t>vente immobilière; vice du consentement | Droit des contrats</w:t>
      </w:r>
    </w:p>
    <w:p>
      <w:pPr>
        <w:pStyle w:val="Heading2"/>
      </w:pPr>
      <w:r>
        <w:t>Erwägungen</w:t>
      </w:r>
    </w:p>
    <w:p>
      <w:r>
        <w:rPr>
          <w:b/>
        </w:rPr>
        <w:t>E. 1.1</w:t>
      </w:r>
    </w:p>
    <w:p>
      <w:r>
        <w:t>Interjeté par la partie qui a succombé dans ses conclusions libératoires ( art. 76 al. 1 LTF ) et dirigé contre un jugement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(art. 48 al. 1 et 100 al. 1 LTF) et la forme ( art. 42 LTF ) prévus par la loi. On peut certes observer que la cour cantonale n'a pas statué sur recours, comme le prévoit l' art. 75 al. 2 LTF , mais cette situation reste sans conséquence, puisque les cantons disposent encore d'un délai d'adaptation ( art. 130 al. 2 LTF ).</w:t>
      </w:r>
    </w:p>
    <w:p>
      <w:r>
        <w:rPr>
          <w:b/>
        </w:rPr>
        <w:t>E. 1.2</w:t>
      </w:r>
    </w:p>
    <w:p>
      <w:r>
        <w:t>Le recours peut être interjeté pour violation du droit, tel qu'il est délimité par les art. 95 et 96 LTF . En conséquence, il peut aussi être formé pour violation d'un droit constitutionnel ( ATF 135 III 670 consid. 1.4 p. 674; 134 III 379 consid. 1.2 p. 382).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135 II 384 consid. 2.2.1 p. 389).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 En l'espèce, le recourant présente son propre état de fait, sans se prévaloir de l'une des circonstances qui pourrait permettre au Tribunal fédéral de s'écarter des constatations cantonales (art. 97 al. 1 et 105 al. 2 LTF). En conséquence, il n'est pas possible d'en tenir compte et le raisonnement doit être mené exclusivement sur la base des constatations cantonales.</w:t>
      </w:r>
    </w:p>
    <w:p>
      <w:r>
        <w:rPr>
          <w:b/>
        </w:rPr>
        <w:t>E. 1.4</w:t>
      </w:r>
    </w:p>
    <w:p>
      <w:r>
        <w:t>Le Tribunal fédéral ne peut aller au-delà des conclusions des parties ( art. 107 al. 1 LTF ). Toute conclusion nouvelle est irrecevable ( art. 99 al. 2 LTF ).</w:t>
      </w:r>
    </w:p>
    <w:p>
      <w:r>
        <w:rPr>
          <w:b/>
        </w:rPr>
        <w:t>E. 2.1</w:t>
      </w:r>
    </w:p>
    <w:p>
      <w:r>
        <w:t>La cour cantonale a examiné successivement les conditions d'une invalidation du contrat pour erreur essentielle, celles d'une invalidation pour dol, celles d'une action rédhibitoire dans le cadre de la garantie des défauts et celles d'une action minutoire dans le même contexte; quant à la clause d'exclusion de la garantie, la cour cantonale s'est demandée si elle devait être écartée parce qu'elle constituerait une simple clause de style, parce que les défauts sortiraient du cadre de la prévision des parties, parce que la clause contredirait une qualité promise ou encore parce que la clause serait entachée de dol. Il en résulte un foisonnement de notions juridiques, qui se répercute sur l'acte de recours, parce que le recourant n'a pas voulu laisser un argument inattaqué. Dans une telle situation, il faut rappeler que le Tribunal fédéral applique le droit d'office - hormis le droit constitutionnel et le droit cantonal - et qu'il n'est lié ni par l'argumentation des parties, ni par la construction juridique retenue par la cour cantonale (cf. supra consid. 1.2). Pour ne pas s'égarer dans des considérations juridiques inutiles, il faut ici reprendre ab ovo l'analyse juridique des faits établis.</w:t>
      </w:r>
    </w:p>
    <w:p>
      <w:r>
        <w:rPr>
          <w:b/>
        </w:rPr>
        <w:t>E. 2.2</w:t>
      </w:r>
    </w:p>
    <w:p>
      <w:r>
        <w:t>Il ressort des constatations cantonales - qui lient le Tribunal fédéral ( art. 105 al. 1 LTF ) - que les parties ont conclu un contrat de vente au sens de l' art. 184 al. 1 CO . Par son objet, le contrat se caractérise comme une vente immobilière ( art. 216 ss CO ). En l'absence de règles spéciales, l' art. 221 CO prévoit que les normes concernant la vente mobilière s'appliquent par analogie aux ventes d'immeubles. Ce renvoi concerne en particulier les règles sur la garantie des défauts ( ATF 131 III 145 consid. 3 p. 147).</w:t>
      </w:r>
    </w:p>
    <w:p>
      <w:r>
        <w:rPr>
          <w:b/>
        </w:rPr>
        <w:t>E. 2.3</w:t>
      </w:r>
    </w:p>
    <w:p>
      <w:r>
        <w:t>Lorsqu'il allègue que la chose vendue est défectueuse, l'acheteur peut, si les conditions de ces deux voies de droit sont remplies, choisir d'invalider le contrat pour vice du consentement ou d'exercer l'action rédhibitoire (respectivement l'action minutoire) résultant de la garantie des défauts ( ATF 114 II 131 consid. 1 p. 134 ss; 109 II 319 consid. 2 p. 322; 108 II 102 consid. 2.1 p. 104; 107 II 419 consid. 1 p. 421 s.). Il n'est fait exception à cette règle que dans le domaine du commerce de bétail ( ATF 111 II 67 consid. 3 p. 70). Les deux voies sont alternatives (mais non cumulatives) et laissées au libre choix de l'acheteur. Rien n'empêche l'acheteur de choisir, à titre principal, d'invalider le contrat et de se réserver, pour le cas où les conditions d'une invalidation ne seraient pas réalisées, de faire valoir subsidiairement l'action en garantie des défauts (SILVIO VENTURI, Commentaire romand, Code des obligations I, no 12 ad Introduction aux articles 197-210 CO). En l'espèce, la cour cantonale a constaté que la demanderesse a déclaré, dans sa citation en conciliation, qu'elle invalidait le contrat pour vice du consentement. Par la suite, elle a constamment conclu principalement à l'annulation du contrat et n'a demandé une réduction du prix qu'à titre subsidiaire. La cour cantonale en a déduit que l'intention réelle de la demanderesse était de demander, à titre principal, l'invalidation du contrat pour cause d'erreur essentielle. Il n'est pas invoqué que ces constatations sur les faits procéduraux seraient arbitraires et on ne voit pas en quoi elles le seraient. En conséquence, le Tribunal fédéral est lié ( art. 105 al. 1 et 2 LTF ). Dès lors que la partie demanderesse a fait le choix qui lui appartenait, il convient d'examiner si les conditions d'une invalidation du contrat pour cause d'erreur essentielle sont ou non réunies; si elles le sont, il n'y a pas à examiner si la demanderesse aurait aussi pu invalider le contrat pour cause de dol ou exercer les actions découlant de la garantie des défauts.</w:t>
      </w:r>
    </w:p>
    <w:p>
      <w:r>
        <w:rPr>
          <w:b/>
        </w:rPr>
        <w:t>E. 2.4</w:t>
      </w:r>
    </w:p>
    <w:p>
      <w:r>
        <w:t>Selon l' art. 23 CO , le contrat n'oblige pas celle des parties qui, au moment de conclure, était dans une erreur essentielle. Il ressort de l' art. 24 al. 1 ch. 4 CO que l'erreur est essentielle notamment lorsqu'elle porte sur des faits que la loyauté commerciale permettait à celui qui se prévaut de son erreur, de considérer comme des éléments nécessaires du contrat. Pour que ce cas d'erreur essentielle soit réalisé, il faut tout d'abord que le cocontractant puisse se rendre compte, de bonne foi, que l'erreur de l'autre partie porte sur un fait qui était objectivement de nature à déterminer la partie à conclure le contrat ou à le conclure aux conditions convenues; il faut encore, en se plaçant du point de vue de la partie qui était dans l'erreur, que l'on puisse admettre subjectivement que son erreur l'a effectivement déterminée à conclure le contrat ou à le conclure aux conditions convenues ( ATF 135 III 537 consid. 2.2 p. 541 s.; 132 III 733 consid. 1.3 p. 741; 129 III 363 consid. 5.3 p. 365). Ce que les parties avaient à l'esprit au moment de conclure ressortit au fait; savoir si l'erreur doit être qualifiée d'essentielle au sens de l' art. 24 al. 1 ch. 4 CO est en revanche une question de droit ( ATF 135 III 537 consid. 2.2 p. 542; 113 II 25 consid. 1a p. 27). En l'espèce, il ressort des constatations cantonales - dont l'arbitraire n'est pas invoqué - que la vente portait sur un chalet dans lequel l'acheteuse souhaitait vivre après sa retraite et qu'elle entendait louer dans l'immédiat. Il ne s'agit donc pas d'une cabane qui serait seulement destinée à fournir un abri pendant quelques heures, voire une nuit, à la suite d'une course de montagne. Dans un chalet destiné à être occupé à demeure, il est essentiel - compte tenu des exigences de confort moderne - de disposer constamment d'une alimentation en eau courante saine. L'importance de cette question ne saurait être sérieusement déniée. Il est d'ailleurs symptomatique d'observer que la question de l'alimentation en eau a été évoquée lors des visites qui ont précédé la vente. Il s'agit donc objectivement, selon la loyauté commerciale, d'un élément essentiel au moment d'acquérir une habitation. La question doit aussi être considérée comme subjectivement essentielle pour l'acheteuse, puisqu'elle souhaitait vivre dans ce chalet et, dans un premier temps, le louer et que la première location s'est déjà révélée impossible en raison du défaut d'alimentation en eau. On ne peut imaginer que cette question n'ait pas été essentielle pour l'acheteuse au moment de conclure. Or, la cour cantonale a retenu que l'alimentation en eau durant toute l'année n'était pas assurée (au moins certaines années) et que l'installation était insatisfaisante, ce qui affectait la qualité de l'eau et, donc, sa salubrité. Il n'est pas contesté que l'acheteuse ne pouvait connaître cette caractéristique du chalet au moment de la conclusion du contrat. Elle l'a donc conclu dans l'erreur, sur un point essentiel, se fiant aux assurances qui lui avaient été données. Il a été constaté - sans que l'arbitraire ne soit invoqué - qu'elle n'a pu se rendre compte de la situation que durant l'été 2006, lorsque le locataire s'est plaint de l'absence d'eau; elle a manifesté sa volonté d'invalider le contrat dans la citation en conciliation du 22 janvier 2007, de sorte que le délai annuel découlant de l' art. 31 al. 1 et 2 CO a été respecté. Ainsi, sur la base des constatations cantonales, le contrat a été valablement invalidé pour cause d'erreur essentielle.</w:t>
      </w:r>
    </w:p>
    <w:p>
      <w:r>
        <w:rPr>
          <w:b/>
        </w:rPr>
        <w:t>E. 2.5</w:t>
      </w:r>
    </w:p>
    <w:p>
      <w:r>
        <w:t>Invoquant l'arbitraire et l' art. 8 CC , le recourant conteste les constatations cantonales concernant l'alimentation en eau et la qualité de celle-ci. Savoir si l'eau est constamment suffisante en toute saison et chaque année, et si elle est de bonne qualité, sont des questions de fait. Le Tribunal fédéral ne peut les revoir que sous l'angle restreint de l'arbitraire. 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134 I 263 consid. 3.1 p. 265 s.). S'agissant plus précisément de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Sauf si des imperfections manifestes sont établies, il n'est pas arbitraire de suivre l'opinion émise par un expert choisi en toute indépendance par l'autorité, dans le seul but de renseigner la justice ( ATF 124 I 170 consid. 4 p. 175). En l'espèce, l'expert judiciaire a constaté, en s'entourant de l'avis d'un technicien spécialisé, que l'installation était insatisfaisante et qu'il en résultait des conséquences sur la qualité de l'eau. On ne voit pas en quoi il serait arbitraire de croire ces constatations. Le recourant se borne à observer que l'eau n'est pas dangereuse au point qu'elle doive être interdite à la consommation, mais on ne voit pas pourquoi l'acheteuse devrait se contenter d'une eau impure d'un point de vue bactériologique et présentant des traces d'iode. En concluant que la qualité de l'eau n'était pas conforme à ce que l'acheteuse pouvait raisonnablement attendre, la cour cantonale n'a pas apprécié les preuves de manière arbitraire. Quant à la carence d'eau - qui constitue certainement le point le plus important -, elle a été décrite de manière précise et convaincante par le dernier locataire. Un témoin a d'ailleurs confirmé avoir dû apporter de l'eau au chalet. Deux témoignages permettent de retenir sans arbitraire que le locataire précédent a connu le même problème, de sorte qu'il faut en déduire que le dernier locataire n'a pas été confronté à une situation exceptionnelle. Qu'un témoin ait fait des déclarations contradictoires sur la fréquence du problème justifie d'écarter sa déposition sur ce point précis. Certes, des locataires antérieurs ont été entendus et ont affirmé n'avoir pas eu de problèmes avec l'alimentation en eau. Il est cependant possible que les capacités de la source aient baissé pour des raisons inconnues. En tout cas, il n'est pas déraisonnable de préférer des constatations récentes à des observations plus anciennes. Ainsi, la cour cantonale n'a pas apprécié les preuves de manière arbitraire en retenant que la carence d'eau était un problème récurrent. Dès lors que la cour cantonale est parvenue à une conviction, il n'y a plus de place pour une application de l' art. 8 CC qui concerne le fardeau de la preuve dans les cas où la situation de fait reste douteuse.</w:t>
      </w:r>
    </w:p>
    <w:p>
      <w:r>
        <w:rPr>
          <w:b/>
        </w:rPr>
        <w:t>E. 2.6</w:t>
      </w:r>
    </w:p>
    <w:p>
      <w:r>
        <w:t>Une erreur essentielle, au sens de l' art. 24 al. 1 ch. 4 CO , ne peut pas être invoquée pour des faits qui sont couverts par une clause d'exclusion de la garantie des défauts, valablement conclue ( ATF 126 III 59 consid. 3 p. 66). En l'espèce, il a été constaté en fait - d'une manière qui lie le Tribunal fédéral ( art. 105 al. 1 LTF ) - qu'une clause d'exclusion de la garantie des défauts est contenue dans le contrat conclu. La jurisprudence admet cependant qu'une clause d'exclusion ne s'attache pas à des défauts totalement étrangers aux éventualités qu'un acheteur doit raisonnablement prendre en considération ( ATF 130 III 686 consid. 4.3.1 p. 689 ss; 126 III 59 consid. 4a et 5a p. 67; 107 II 161 consid. 6c p. 164). La jurisprudence la plus récente relève que la clause d'exclusion doit être interprétée comme toute manifestation de volonté et qu'il faut déterminer sa portée en procédant à une interprétation selon le principe de la confiance lorsque - comme c'est le cas en l'espèce - une volonté concordante des parties n'est pas établie; pour dire si le défaut se situe en dehors des prévisions des parties, il faut prendre en considération le but économique de la convention; l'acheteur d'une construction ancienne qui accepte une clause d'exclusion de la garantie doit s'attendre à des dépenses inattendues de l'ordre de 10 % du prix d'achat ( ATF 130 III 686 consid. 4.3.1 p. 689 ss). En l'espèce, la clause d'exclusion indique seulement que l'habitation et le garage sont vendus dans leur état actuel et que l'acquéreuse déclare les avoir visités et les accepter. S'agissant d'une construction ancienne, il s'agit manifestement, si on l'interprète selon le principe de la confiance, d'une clause qui devait protéger le vendeur contre des réclamations liées à l'usure et à la vétusté de la chose vendue. Qu'il n'y ait pas d'eau en période d'étiage en raison d'une insuffisance de la source n'est pas une question d'usure et de vétusté. Il apparaît donc d'emblée, par voie d'interprétation, que l'on se situe en dehors de ce que visait la clause d'exclusion. Si l'on utilise les paramètres préconisés par la jurisprudence, la solution n'est pas différente. En considérant tout d'abord le but économique du contrat, il faut rappeler que l'acheteuse voulait d'abord louer le chalet, avant d'y habiter à demeure; or, la première location s'est révélée impossible en raison des défauts de l'alimentation en eau. Si l'on considère l'importance économique du défaut, sa suppression - selon l'hypothèse la plus favorable de l'expert judiciaire - dépasserait notablement le 10 % du prix de vente. Que le vendeur ait déclaré qu'il n'y aurait pas de problème pour l'alimentation en eau confirme d'ailleurs que le problème qui a surgi était exclu de la prévision des parties (sur la compatibilité entre une qualité promise et une clause d'exonération : cf. ATF 109 II 24 consid. 4 p. 25). En concluant que la clause d'exclusion de la garantie n'était pas opposable à l'invalidation du contrat par l'acheteuse, la cour cantonale n'a pas violé le droit fédéral.</w:t>
      </w:r>
    </w:p>
    <w:p>
      <w:r>
        <w:rPr>
          <w:b/>
        </w:rPr>
        <w:t>E. 2.7</w:t>
      </w:r>
    </w:p>
    <w:p>
      <w:r>
        <w:t>La cour cantonale, en suivant le rapport d'expertise, a admis qu'il y avait encore d'autres défauts que l'acheteuse ne pouvait pas détecter et qui étaient nécessairement connus du vendeur. Elle en a déduit qu'ils ont été dissimulés frauduleusement au sens de l' art. 199 CO , de sorte que la clause d'exclusion de la garantie ne s'applique pas et qu'ils peuvent être invoqués par l'acheteuse. Ce raisonnement, en soi, ne viole pas le droit fédéral. On ne voit pas non plus que la cour cantonale, en suivant l'opinion de l'expert judiciaire, ait déterminé les faits de manière arbitraire. La question est toutefois sans pertinence, puisque seule l'invalidation est contestée devant le Tribunal fédéral et que celle-ci est déjà justifiée pour les motifs évoqués ci-dessus. Le recourant ne conteste pas les conséquences que la cour cantonale a tiré de l'invalidation. Il n'y a pas lieu d'y revenir, s'agissant d'une question qui n'est plus discutée devant le Tribunal fédéral (cf. consid. 1.2 ci-dessus).</w:t>
      </w:r>
    </w:p>
    <w:p>
      <w:r>
        <w:rPr>
          <w:b/>
        </w:rPr>
        <w:t>E. 3</w:t>
      </w:r>
    </w:p>
    <w:p>
      <w:r>
        <w:t>Le recours doit dès lors être rejeté. Les frais judiciaires et les dépens sont mis à la charge de la partie qui succombe (art. 66 al. 1 et 68 al. 1 et 2 LTF). Il y a lieu d'accorder l'assistance judiciaire à l'intimée, qui en remplit les conditions (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