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550/2020 vom 29. April 2021</w:t>
      </w:r>
    </w:p>
    <w:p>
      <w:r>
        <w:t>Bundesgericht, 2021-04-29, FR</w:t>
      </w:r>
    </w:p>
    <w:p>
      <w:r>
        <w:rPr>
          <w:b/>
        </w:rPr>
        <w:t xml:space="preserve">Quelle: </w:t>
      </w:r>
      <w:r>
        <w:t>https://mcp.opencaselaw.ch/entscheid/bger_4A_550_2020</w:t>
      </w:r>
    </w:p>
    <w:p>
      <w:r>
        <w:t>FR: TF 4A 550/2020 du 29 avril 2021</w:t>
      </w:r>
    </w:p>
    <w:p>
      <w:r>
        <w:t>IT: TF 4A 550/2020 del 29 aprile 2021</w:t>
      </w:r>
    </w:p>
    <w:p>
      <w:pPr>
        <w:pStyle w:val="Heading2"/>
      </w:pPr>
      <w:r>
        <w:t>Regeste</w:t>
      </w:r>
    </w:p>
    <w:p>
      <w:r>
        <w:t>bail à loyer; procédure de protection dans les cas clairs; expulsion du sous-locataire,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Devant le Tribunal fédéral, la recourante a produit un extrait du registre des poursuites de l'intimé daté du 23 novembre 2020. Transmise après l'échéance du délai de recours et, au demeurant, postérieure à l'arrêt attaqué ( art. 99 al. 1 LTF ; ATF 139 III 120 consid. 3.1.2), cette pièce est irrecevable.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w:t>
      </w:r>
    </w:p>
    <w:p>
      <w:r>
        <w:t>Le litige porte sur la question de savoir si la présente cause remplit les conditions de la procédure de protection dans les cas clairs s'agissant de la requête d'expulsion de l'intimé et de prononcé de mesures d'exécution. En revanche, à ce stade, la recourante ne conclut plus au paiement de 40'000 fr. par ce dernier.</w:t>
      </w:r>
    </w:p>
    <w:p>
      <w:r>
        <w:rPr>
          <w:b/>
        </w:rPr>
        <w:t>E. 4.1</w:t>
      </w:r>
    </w:p>
    <w:p>
      <w:r>
        <w:t>La re courante reproche d'abord à la cour cantonale d'avoir établi les faits de manière manifestement inexacte. Elle soutient qu'elle a omis de constater que l'intimé reconnaissait ne plus payer de sous-loyer et qu'il n'avait pas l'intention de le faire. Ensuite, si la cour cantonale avait relevé que l'intimé faisait l'objet de poursuites, elle n'avait à tort pas établi qu'il cumulait des actes de défaut de biens pour un montant total de 678'626 fr. 84 en date du 28 novembre 2019.</w:t>
      </w:r>
    </w:p>
    <w:p>
      <w:r>
        <w:rPr>
          <w:b/>
        </w:rPr>
        <w:t>E. 4.2</w:t>
      </w:r>
    </w:p>
    <w:p>
      <w:r>
        <w:t>S'agissant de l'intention de l'intimé, la recourante ne démontre pas avoir formulé ce fait devant la cour cantonale. En réalité, elle avait uniquement soutenu que l'intimé avait arrêté de payer son sous-loyer car il n'arrivait plus à faire face à tous ses créanciers et elle avait renvoyé à l'extrait du registre des poursuites de l'intéressé. L'argument quant à l'intention de l'intimé est dès lors irrecevable. S'agissant du montant des actes de défaut de biens, cet élément n'est pas susceptible d'influencer le sort de la cause (cf. consid. 8 infra ).</w:t>
      </w:r>
    </w:p>
    <w:p>
      <w:r>
        <w:rPr>
          <w:b/>
        </w:rPr>
        <w:t>E. 5</w:t>
      </w:r>
    </w:p>
    <w:p>
      <w:r>
        <w:t>Ensuite, la recourante fait grief à la cour cantonale d'avoir considéré que la cause ne remplissait pas les conditions de la procédure de protection dans les cas clairs. Elle dénonce une violation de l' art. 257 CPC .</w:t>
      </w:r>
    </w:p>
    <w:p>
      <w:r>
        <w:rPr>
          <w:b/>
        </w:rPr>
        <w:t>E. 5.1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citée). En vertu de l' art. 257 al. 1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 art. 254 al. 1 CPC . Si le défendeur fait valoir des objections et exceptions motivées et concluantes ( substanziiert und schlüssig ), qui ne peuvent être écartées immédiatement et qui sont de nature à ébranler la conviction du juge, la procédure pour les cas clairs est exclue et la requête irrecevable ( ATF 144 III 462 consid. 3.1; 141 III 23 consid. 3.2; 138 III 620 consid. 5.1.1). A l'inverse, le cas clair doit être retenu lorsque sont émises des objections manifestement mal fondées ou inconsistantes sur lesquelles il peut être statué immédiatement ( ATF 138 III 620 consid. 5.1.1; arrêt 4A_350/2014 du 16 septembre 2014 consid. 2.1). La situation juridique est claire lorsque l'application de la norme au cas concret s'impose de façon évidente au regard du texte légal ou sur la base d'une doctrine et d'une jurisprudence éprouvées ( ATF 144 III 462 consid. 3.1;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 ATF 144 III 462 consid. 3.1; 141 III 23 consid. 3.2; 138 III 123 consid. 2.1.2).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(arrêts 4A_25/2019 du 15 avril 2019 consid. 3; 4A_185/2017 du 15 juin 2017 consid. 5.4; 4A_2/2016 du 18 février 2016 consid. 2.1; 4A_350/2015 du 25 août 2015 consid. 4.2 et la référence).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 ATF 144 III 462 consid. 3.1 et les arrêts cités).</w:t>
      </w:r>
    </w:p>
    <w:p>
      <w:r>
        <w:rPr>
          <w:b/>
        </w:rPr>
        <w:t>E. 5.2</w:t>
      </w:r>
    </w:p>
    <w:p>
      <w:r>
        <w:t>Selon l' art. 257d CO ,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5.3</w:t>
      </w:r>
    </w:p>
    <w:p>
      <w:r>
        <w:t>L'action en contestation du congé formée par les locataires ne fait pas obstacle à l'action postérieure en expulsion selon l' art. 257 CPC , intentée par le bailleur ( ATF 144 III 462 consid. 3.3.1). L'action en expulsion pour défaut de paiement du loyer au sens de l' art. 257d CO , selon la procédure de protection dans les cas clairs ( art. 257 CPC ), présuppose que le bail ait valablement pris fin, puisque l'extinction du bail est une condition du droit à la restitution des locaux ( art. 267 al. 1 CO ).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 art. 257d CO ). Les conditions de l' art. 257 al. 1 CPC s'appliquent également à cette question préjudicielle ( ATF 144 III 462 consid. 3.3.1; 141 III 262 consid. 3).</w:t>
      </w:r>
    </w:p>
    <w:p>
      <w:r>
        <w:rPr>
          <w:b/>
        </w:rPr>
        <w:t>E. 6</w:t>
      </w:r>
    </w:p>
    <w:p>
      <w:r>
        <w:t>En l'espèce, la cour cantonale a jugé que le montant du sous-loyer était litigieux. Dès lors, la validité de l'un ou l'autre des congés pour défaut de paiement signifiés par la sous-bailleresse ne pouvait être tranchée. Il n'était pas non plus possible de déterminer si les prétentions de A.________ AG en paiement d'arriérés de loyers étaient ou non fondées. Ainsi, la situation n'était pas claire. Par ailleurs, le premier congé avait été signifié à un moment où les parties étaient toujours en discussion et où aucun document entérinant un éventuel accord sur le montant du sous-loyer n'avait été signé. Il n'était dès lors pas exclu que le congé soit annulable au motif qu'il contrevenait aux règles de la bonne foi ( art. 271 al. 1 CO ). Des mesures d'instruction supplémentaires, notamment l'audition de l'employé de A.________ AG qui gérait le dossier, requise par B.________, semblaient nécessaires pour statuer sur cette question. En conclusion, la validité des objections soulevées par B.________ devait être examinée dans le cadre des procédures en contestation de congé actuellement pendantes entre les parties; les questions litigieuses ne sauraient être résolues dans le cadre d'une procédure sommaire. Le cas n'était donc pas clair au sens de l' art. 257 CPC .</w:t>
      </w:r>
    </w:p>
    <w:p>
      <w:r>
        <w:rPr>
          <w:b/>
        </w:rPr>
        <w:t>E. 7.1</w:t>
      </w:r>
    </w:p>
    <w:p>
      <w:r>
        <w:t>La recourante soutient tout d'abord que l'existence d'un désaccord quant au montant du sous-loyer n'interdisait pas l'application de la procédure sommaire. Elle allègue qu'il est établi que l'intimé n'a versé aucun loyer depuis l'été 2018, alors qu'il continuait à occuper les locaux. Dans le cas où la première résiliation devait être considérée comme tardive, la seconde était quoi qu'il en soit valablement intervenue, de sorte que le congé donné était valable.</w:t>
      </w:r>
    </w:p>
    <w:p>
      <w:r>
        <w:rPr>
          <w:b/>
        </w:rPr>
        <w:t>E. 7.2</w:t>
      </w:r>
    </w:p>
    <w:p>
      <w:r>
        <w:t>La cour cantonale a retenu qu'il n'y avait pas d'accord sur le montant du sous-loyer et qu'il convenait d'interpréter les volontés des parties. La question de savoir si ce point permettrait d'exclure d'emblée l'application de la procédure prévue pour les cas clairs (cf. arrêt 4A_185/2017 précité consid. 5.4 et les références) n'a pas besoin d'être tranchée. En effet, le sous-locataire ne peut se prévaloir de la problématique quant au désaccord sur le montant du sous-loyer que dans la mesure où elle est pertinente pour l'issue du litige, ce qu'il doit démontrer (arrêt 4A_330/2017 du 8 février 2018 consid. 3). Or, il ressort des faits constatés par la cour cantonale que l'intimé était en tous cas d'accord avec un sous-loyer mensuel de 1'000 fr. En effet, il a proposé un tel montant dans son courrier du 18 mars 2019. Par la suite, dans sa contestation du 10 septembre 2019, il a confirmé ce chiffre, en concluant à ce que le sous-loyer soit fixé à 1'000 fr. par mois. Par ailleurs, la cour cantonale a constaté que la recourante était devenue locataire principale des locaux occupés par l'intimé à compter du 1er décembre 2017. L'intimé lui avait versé au total 15'500 fr. (6 x 2'000 fr. + 1 x 3'500 fr.), avec un dernier paiement remontant au 12 juillet 2018. Ainsi, l'intimé n'a, même après compensation avec les montants qu'il aurait par hypothèse versés en trop, pas réglé intégralement les sous-loyers mensuels de 1'000 fr. qu'il estimait devoir lorsque la recourante lui a adressé le premier avis comminatoire du 26 avril 2019, puis le second du 1er octobre 2019, ni à l'expiration des délais comminatoires fixés. L'intimé était quoi qu'il en soit en demeure. Selon la jurisprudence, l'indication d'un arriéré trop élevé dans l'avis comminatoire n'entraîne pas nécessairement l'inefficacité de cet avis: le locataire qui constate une erreur doit la signaler au bailleur, à défaut de quoi il ne mérite pas d'être protégé; il en va de même de celui qui ne prend pas de mesures pour régler le montant qu'il estime exact (arrêts 4A_436/2018 du 17 janvier 2019 consid. 4.1; 4A_330/2017 du 8 février 2018 consid. 3.1 et les références citées). Ainsi, pour statuer sur la validité des avis comminatoires émis par la recourante, peu importe de déterminer si les arriérés qu'elle a indiqués étaient ou non trop élevés. Dès lors que l'intimé a laissé échoir les délais comminatoires sans verser le montant du sous-loyer qu'il estimait dû, il ne mérite pas de protection. Dans l'hypothèse où aucun accord sur le montant du sous-loyer ne serait intervenu et donc, aucun contrat n'aurait été conclu entre les parties, l'intimé, occupant les locaux litigieux sans contrepartie, ne mérite pas davantage protection. Par conséquent, l'intimé était quoi qu'il en soit en demeure et ne pouvait tirer aucun argument concluant d'un désaccord sur le montant du sous-loyer. Ce point n'a donc pas d'incidence s'agissant des conclusions de la recourante en expulsion de l'intimé et en prononcé de mesures d'exécution. Dès lors, il ne saurait exclure l'application de la procédure en cas clair à leur égard. En effet, il peut advenir que certaines des prétentions cumulées répondent à toutes les conditions de l' art. 257 CPC et soient accueillies, alors que d'autres n'y satisfassent pas et soient déclarées irrecevables ( art. 90 CPC ; arrêt 4A_571/2018 du 14 janvier 2019 consid. 7).</w:t>
      </w:r>
    </w:p>
    <w:p>
      <w:r>
        <w:rPr>
          <w:b/>
        </w:rPr>
        <w:t>E. 8.1</w:t>
      </w:r>
    </w:p>
    <w:p>
      <w:r>
        <w:t>Ensuite, la recourante reproche à la cour cantonale d'avoir considéré qu'il n'était pas exclu que l' art. 271 al. 1 CO trouve application.</w:t>
      </w:r>
    </w:p>
    <w:p>
      <w:r>
        <w:rPr>
          <w:b/>
        </w:rPr>
        <w:t>E. 8.2</w:t>
      </w:r>
    </w:p>
    <w:p>
      <w:r>
        <w:t>Le congé est annulable lorsqu'il contrevient aux règles de la bonne foi ( art. 271 al. 1 CO ). La jurisprudence admet que le congé prononcé conformément à l' art. 257d CO peut, à titre très exceptionnel, contrevenir aux règles de la bonne foi; la notion doit être interprétée très restrictivement, afin de ne pas mettre en question le droit du bailleur à recevoir le loyer à l'échéance ( ATF 140 III 591 consid. 1). L'annulation entre en considération notamment dans les cas suivants: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 ATF 120 II 31 consid. 4b; arrêt 4A_330/2017 précité consid. 3.1);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 ATF 140 III 591 consid. 1 et les références citées; arrêts précités 4A_436/2018 consid. 5.1 et 4A_571/2018 consid. 9). Les dispositions sur la protection contre les congés concernant les baux d'habitations et de locaux commerciaux s'appliquent à la sous-location jusqu'à l'extinction du bail principal (art. 273b al. 1, première phrase, CO).</w:t>
      </w:r>
    </w:p>
    <w:p>
      <w:r>
        <w:rPr>
          <w:b/>
        </w:rPr>
        <w:t>E. 8.3</w:t>
      </w:r>
    </w:p>
    <w:p>
      <w:r>
        <w:t>En l'espèce, la cour cantonale a retenu que selon les allégations de l'intimé, le congé avait été donné contrairement aux règles de la bonne foi car la recourante avait tenté de lui imposer une collaboration qu'il ne souhaitait pas et lui avait signifié un congé alors que les parties étaient encore en cours de négociation sur le montant du sous-loyer. La cour cantonale a relevé qu'il ressortait effectivement du dossier que le premier congé avait été donné à un moment où les parties étaient toujours en discussion. Au vu de ces éléments, il n'était pas exclu que l' art. 271 al. 1 CO puisse trouver application. Cette appréciation de la cour cantonale ne peut être suivie. L'intimé, faisant l'objet de poursuites, n'a plus opéré de versement à la recourante depuis le mois de juillet 2018 et n'a même pas réglé les montants du sous-loyer qu'il estimait dû. Ainsi, à réception des congés des 7 août 2019 et 13 novembre 2019 (lequel a été signifié moins de deux semaines après l'échéance du second délai comminatoire fixé), cela faisait de nombreux mois que l'intimé occupait les locaux litigieux sans verser la moindre contrepartie. Dans ces circonstances, aucune annulation du congé ne peut être prononcée sur la base de l' art. 271 al. 1 CO . L'intimé soutient qu'il se serait toujours acquitté de ses loyers depuis son occupation des locaux en 2013, avant ses " déboires " avec la recourante dès l'arrivée de celle-ci. Toutefois, cela n'a pas été constaté par la cour cantonale. A cet égard, l'intimé ne présente pas une argumentation précise telle que requise par l' art. 106 al. 2 LTF et ne démontre pas avoir allégué ce fait devant les autorités précédentes. Dès lors, il n'en sera pas tenu compte.</w:t>
      </w:r>
    </w:p>
    <w:p>
      <w:r>
        <w:rPr>
          <w:b/>
        </w:rPr>
        <w:t>E. 9</w:t>
      </w:r>
    </w:p>
    <w:p>
      <w:r>
        <w:t>Au vu de ce qui précède, l'état de fait et la situation juridique s'agissant des points déterminants pour statuer sur les conclusions en expulsion et en prononcé de mesures d'exécution remplissent les conditions d'application de la procédure de protection dans les cas clairs. La requête en ce sens est ainsi recevable concernant ces conclusions.</w:t>
      </w:r>
    </w:p>
    <w:p>
      <w:r>
        <w:rPr>
          <w:b/>
        </w:rPr>
        <w:t>E. 10</w:t>
      </w:r>
    </w:p>
    <w:p>
      <w:r>
        <w:t>En définitive, le recours doit être admis et l'expulsion ordonnée, de même que des mesures d'exécution ( art. 107 al. 2 LTF ). L'intimé prendra en charge les frais judiciaires de la présente procédure ( art. 66 al. 1 LTF ). Il versera en outre une indemnité de dépens à la recourante ( art. 68 al. 1 et 2 LTF ). La cour cantonale n'a pas perçu de frais judiciaires ni alloué de dépens; il n'y a donc pas lieu de lui renvoyer la cause sur ces points.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