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4A_54/2025 vom 29. April 2025</w:t>
      </w:r>
    </w:p>
    <w:p>
      <w:r>
        <w:t>Bundesgericht, 2025-04-29, DE</w:t>
      </w:r>
    </w:p>
    <w:p>
      <w:r>
        <w:rPr>
          <w:b/>
        </w:rPr>
        <w:t xml:space="preserve">Quelle: </w:t>
      </w:r>
      <w:r>
        <w:t>https://mcp.opencaselaw.ch/entscheid/bger_4A_54_2025</w:t>
      </w:r>
    </w:p>
    <w:p>
      <w:r>
        <w:t>FR: TF 4A_54/2025 du 29 avril 2025</w:t>
      </w:r>
    </w:p>
    <w:p>
      <w:r>
        <w:t>IT: TF 4A_54/2025 del 29 aprile 2025</w:t>
      </w:r>
    </w:p>
    <w:p>
      <w:pPr>
        <w:pStyle w:val="Heading2"/>
      </w:pPr>
      <w:r>
        <w:t>Erwägungen</w:t>
      </w:r>
    </w:p>
    <w:p>
      <w:r>
        <w:rPr>
          <w:b/>
        </w:rPr>
        <w:t>E. 1</w:t>
      </w:r>
    </w:p>
    <w:p>
      <w:r>
        <w:t>Gegenstand des angefochtenen Urteils bildet ein Genugtuungsanspruch wegen fehlerhafter Behandlung in einem öffentlichen Spital nach dem kantonalen öffentlichen Haftungsrecht. Da solche Entscheide in unmittelbarem Zusammenhang mit dem Zivilrecht stehen, ist dagegen nach Art. 72 Abs. 2 lit. b BGG die Beschwerde in Zivilsachen gegeben ( BGE 139 III 252 E. 1.5; 135 III 329 E. 1.1; 133 III 462 E. 2.1).</w:t>
      </w:r>
    </w:p>
    <w:p>
      <w:r>
        <w:t>Beim angefochtenen Rückweisungsentscheid handelt es sich um einen Zwischenentscheid im Sinne von Art. 93 BGG . Ein solcher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Beschwerdeführerin bringt zu Recht vor, dass der angefochtene Entscheid einen nicht wieder gutzumachenden Nachteil bewirken kann: Könnte sie den ergangenen Zwischenentscheid nicht anfechten, wäre sie aufgrund der Bindungswirkung des Rückweisungsentscheids gezwungen, eine ihres Erachtens rechtswidrige Verfügung zu erlassen. Die Beschwerdeführerin wäre in der Folge nicht legitimiert, ihre eigene Verfügung anzufechten, während die Beschwerdegegnerin keinen Anlass zur Anfechtung eines zu ihrem Vorteil ergangenen Entscheids hätte, so dass im Ergebnis der allenfalls rechtswidrige Entscheid nicht mehr korrigiert werden könnte. Die Voraussetzung für die Anfechtung des Zwischenentscheids ist daher erfüllt (vgl. BGE 142 V 26 E. 1.2).</w:t>
      </w:r>
    </w:p>
    <w:p>
      <w:r>
        <w:t>Die übrigen Sachurteilsvoraussetzungen sind ebenfalls erfüllt und geben zu keinen Bemerkungen Anlass. Unter Vorbehalt hinreichend begründeter Rügen ( Art. 42 Abs. 2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wirft der Vorinstanz verschiedentlich Willkür ( Art. 9 BV ) in der Beweiswürdigung und gestützt darauf eine willkürliche Anwendung des kantonalen Rechts vor.</w:t>
      </w:r>
    </w:p>
    <w:p>
      <w:r>
        <w:rPr>
          <w:b/>
        </w:rPr>
        <w:t>E. 3.1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3.2</w:t>
      </w:r>
    </w:p>
    <w:p>
      <w:r>
        <w:t>Die Beschwerdeführerin beanstandet die vorinstanzliche Feststellung, wonach eine Behandlung der Beschwerdegegnerin mit intravenöser Thrombolyse am Abend des 17. Mai 2003 den Schlaganfall vom 18. Mai 2003 überwiegend wahrscheinlich vermieden hätte, als willkürlich. Sie begründet dies zum einen damit, dass sich das medizinische Gerichtsgutachten nur unklar und widersprüchlich zum Grad der Wahrscheinlichkeit äussere und das Gericht darauf nicht hätte abstellen und einen Kausalzusammenhang bejahen dürfen. Zum anderen habe die Vorinstanz ohne Grundlage im Gerichtsgutachten und ohne eigene Fachkenntnisse unrichtige medizinische Schlüsse gezogen und gestützt darauf willkürlich das Vorliegen eines Kausalzusammenhangs zwischen dem Unterlassen einer intravenösen Thrombolyse am Abend des 17. Mai 2003 und dem Eintreten des Schlaganfalls am Mittag des 18. Mai 2003 bejaht.</w:t>
      </w:r>
    </w:p>
    <w:p>
      <w:r>
        <w:t>Sie zeigt mit ihren Ausführungen zur Wortwahl an verschiedenen Stellen im Gerichtsgutachten bzw. im Ergänzungsgutachten ("möglicherweise", "mit hoher Wahrscheinlichkeit" und "wahrscheinlich") keinen unauflösbaren Widerspruch auf, der zu einem im Ergebnis willkürlichen Entscheid führen würde. Die Vorinstanz hat nachvollziehbar ausgeführt, dass es sich bei den ins Feld geführten Formulierungen nur um einen scheinbaren Widerspruch handle. Zwar trifft zu, dass der Gerichtsgutachter die Wahrscheinlichkeit einer Vermeidung des Schlaganfalls durch eine intravenöse Thrombolysebehandlung am Abend des 17. Mai 2003 nach zwei verschiedenen Annahmen (Carotis-Verschluss oder hochgradige Abgangsstenose) beurteilte. Entgegen den Vorbringen in der Beschwerde hat der Gutachter die ausdrückliche Frage nach der Wahrscheinlichkeit, mit der das zerebrovaskuläre Ereignis vom 18. Mai 2003 mit einer Thrombolyse hätte vermieden werden können, jedoch unter beiden Annahmen dahingehend beantwortet, dass das Ereignis "mit hoher Wahrscheinlichkeit hätte vermieden werden können". Im Ergänzungsgutachten hat er die Möglichkeit der gemeinsamen Abhandlung der beiden Situationen zudem ausdrücklich bestätigt, weshalb auch in dieser Hinsicht keine Rede von einem Widerspruch sein kann. Ebenso wenig trifft zu, dass der Gerichtsgutachter seine Aussage im Ergänzungsgutachten I "zurückbuchstabiert" hätte, indem er bei der Beantwortung einer spezifischen Ergänzungsfrage (nämlich zur Bedeutung des Umstands, dass sich die Parese des linken Beins im Verlauf spontan partiell rückgebildet hatte) erwähnte, eine intravenöse Thrombolyse schütze vor einem Rezidiv und hätte "wahrscheinlich" auch die nachgeschaltete Thrombosierung verhindern können, die am 18. Mai 2003 zum erneuten Schlaganfall führte. Der Vorinstanz ist keine Willkür vorzuwerfen, wenn sie im angefochtenen Entscheid lediglich von einem scheinbaren Widerspruch ausging.</w:t>
      </w:r>
    </w:p>
    <w:p>
      <w:r>
        <w:t>Fehl geht im Übrigen auch der in der Beschwerde erhobene Einwand, die Erwägungen im angefochtenen Entscheid (E. 8.2.1 S. 46 Mitte) gingen an der Thematik vorbei, weil sich die fraglichen Angaben im Ergänzungsgutachten auf den Zustand der Beschwerdegegnerin am Abend des 17. Mai 2003 und nicht auf denjenigen nach dem Schlaganfall vom 18. Mai 2003 bezogen hätten, weshalb die vorinstanzliche Feststellung zur Kausalität im Gutachten keine Grundlage finde. Der Gutachter weist im Anschluss an die in der Beschwerde zitierte Stelle im Ergänzungsgutachten I, Ziffer 2.2.d (S. 4 f.) ausdrücklich darauf hin, dass eine intravenöse Thrombolyse vor einem Rezidiv schütze und "auch die nachgeschaltete Thrombosierung der A. cerebri media rechts [hätte] verhindern können, die am 18.5.2003 mittags zum erneuten Schlaganfall führte". Der Gutachter stellt mithin durchaus selber einen Zusammenhang mit dem Eintritt des Schlaganfalls her, womit dem Vorwurf, die Vorinstanz hätte selber medizinische Schlüsse gezogen, obwohl ihr die erforderliche Fachkunde fehle, die Grundlage entzogen ist.</w:t>
      </w:r>
    </w:p>
    <w:p>
      <w:r>
        <w:rPr>
          <w:b/>
        </w:rPr>
        <w:t>E. 3.3</w:t>
      </w:r>
    </w:p>
    <w:p>
      <w:r>
        <w:t>Die Beschwerdeführerin vermag auch keine Willkür aufzuzeigen, indem sie verschiedene Sätze aus dem Gerichtsgutachten sowie den Ergänzungsgutachten I und II zitiert und der Vorinstanz vorwirft, ihr Schluss, dass eine intravenöse Thrombolyse vor einem Rezidiv, also vor dem Schlaganfall vom 18. Mai 2003, geschützt hätte, lasse sich dem Gutachten so nicht entnehmen und sei darüber hinaus in verschiedener Hinsicht qualifiziert falsch. Die vorinstanzliche Feststellung lässt sich durchaus willkürfrei auf die in Rz. 60 der Beschwerde zitierte Aussage des Gutachters in Ziffer 2.2.d S. 4 f. des Ergänzungsgutachtens I stützen. Zudem ergibt sich aus der in Rz. 63 der Beschwerde zitierten Passage des Ergänzungsgutachtens II, dass durch die Thrombolyse eine etwaige zusätzliche Stenose oder Verschluss der A. cerebri media mit höherer Wahrscheinlichkeit rekanalisiert wird. Die Vorinstanz ist im Gesamtkontext des Gutachtens und der Ergänzungsgutachten nachvollziehbar davon ausgegangen, dass der Hinweis des Gutachters im Zusatzgutachten II, es "bleibe spekulativ", inwiefern die Thrombolyse die Beschwerdegegnerin vor dem Ereignis des 18. Mai 2003 geschützt hätte, nicht etwa als Relativierung seiner vorangehenden Aussagen zu verstehen ist, sondern vielmehr im Sinne einer Hervorhebung, dass die Beurteilung einer Unterlassung notgedrungen hypothetisch ist. Der Willkürvorwurf erweist sich auch in dieser Hinsicht als unbegründet. Damit ist auch der Rüge der qualifiziert unrichtigen antizipierten Beweiswürdigung die Grundlage entzogen, womit der Vorwurf der Beschwerdeführerin, die Vorinstanz habe ihren Beweisantrag zur Erstellung eines neuen Gutachtens zu den Wirkungen einer intravenösen Thrombolyse in Verletzung des Gehörsanspruchs abgewiesen, ins Leere zielt.</w:t>
      </w:r>
    </w:p>
    <w:p>
      <w:r>
        <w:t>Insgesamt ist der Vorinstanz weder Willkür noch eine Verletzung des Gehörsanspruchs vorzuwerfen, indem sie einen hypothetischen Kausalzusammenhang zwischen dem Unterlassen einer intravenösen Thrombolyse am Abend des 17. Mai 2003 und dem am 18. Mai 2003 eingetretenen Schlaganfall bejahte.</w:t>
      </w:r>
    </w:p>
    <w:p>
      <w:r>
        <w:rPr>
          <w:b/>
        </w:rPr>
        <w:t>E. 3.4</w:t>
      </w:r>
    </w:p>
    <w:p>
      <w:r>
        <w:t>Die Beschwerdeführerin wirft der Vorinstanz auch hinsichtlich der aufgrund der unterlassenen intravenösen Thrombolyse bejahten Sorgfaltspflichtverletzung eine widerrechtliche Würdigung des Gerichtsgutachtens vor. Sie bringt vor, die Ausführungen des Gerichtsgutachters seien in diesem Punkt entgegen den Erwägungen im angefochtenen Entscheid keineswegs schlüssig und überzeugend. Dem Gutachten könne gerade nicht entnommen werden, dass es im Mai 2003 dem allgemein anerkannten Stand der medizinischen Wissenschaft entsprochen habe, leichte akute Schlaganfälle mit Risikofaktoren zwingend mittels intravenöser Thrombolyse zu behandeln.</w:t>
      </w:r>
    </w:p>
    <w:p>
      <w:r>
        <w:t>Die Beschwerdeführerin vermag die Schlüssigkeit des Gerichtsgutachtens nicht zu erschüttern, indem sie einzelne Auszüge daraus wie auch aus den Ergänzungsgutachten zum Stand der Schlaganfallbehandlung in der Schweiz zitiert und vorbringt, die Literaturangaben im Gutachten seien unspezifisch und entgegen der Ansicht der Vorinstanz unzureichend. Indem sie den Aussagen des Gerichtsgutachters diejenigen ihres Privatgutachters entgegenhält, übt sie unzulässige appellatorische Kritik am angefochtenen Entscheid. Mit ihrem Vorbringen, die Stellungnahme ihres Parteigutachters vom 22. Februar 2024 ebenso wie ihre Eingabe vom 26. Februar 2024 stellten die Richtigkeit der Schlussfolgerungen des Gerichtsgutachters in Frage, wonach es im Mai 2003 dem allgemein anerkannten medizinischen Stand der Wissenschaft entsprochen habe, auch leichte Schlaganfälle mit intravenöser Thrombolyse zu behandeln, zeigt die Beschwerdeführerin keine willkürliche Beweiswürdigung auf.</w:t>
      </w:r>
    </w:p>
    <w:p>
      <w:r>
        <w:t>Rein appellatorisch sind im Übrigen die Ausführungen, mit denen die Beschwerdeführerin dem Bundesgericht gestützt auf zwei neue der Vorinstanz eingereichte medizinische Studien aus dem Jahr 2024 ihre Ansicht unterbreitet, wonach es im Jahr 2003 keine verlässlichen Erkenntnisse über die Wirksamkeit der intravenösen Thrombolyse bei leichten Schlaganfällen gegeben habe. Die Vorinstanz liess eine der Studien nicht zu, da sie nach Aktenschluss eingereicht wurde, erwog jedoch im Sinne einer Eventualbegründung, auch daraus liessen sich im zu beurteilenden Fall keine Schlüsse ziehen. Die Beschwerdeführerin zeigt weder eine willkürliche (antizipierte) Beweiswürdigung auf noch legt sie dar, inwiefern der Vorinstanz eine verfassungswidrige Anwendung der kantonalen Verfahrensbestimmungen zum Novenrecht vorzuwerfen wäre. Damit zielt auch die Rüge ins Leere, die Vorinstanz habe mit der verweigerten Zulassung der Studie vom 17. Mai 2024 den Gehörsanspruch verletzt.</w:t>
      </w:r>
    </w:p>
    <w:p>
      <w:r>
        <w:t>Der Vorinstanz ist keine willkürliche Beweiswürdigung vorzuwerfen, indem sie sich betreffend den Stand der medizinischen Wissenschaften auf das Gerichtsgutachten stützte. Damit ist auch den Vorbringen in der Beschwerde die Grundlage entzogen, wonach die Vorinstanz gestützt auf eine unzutreffende Sachverhaltsfeststellung die Sorgfaltspflichtverletzung qualifiziert falsch beurteilt habe. Im Zusammenhang mit der Beurteilung des Behandlungsentscheids stellt die Beschwerdeführerin der gutachterlichen Einschätzung des medizinisch gebotenen Vorgehens im Übrigen lediglich ihre eigene Ansicht zur angeblich massgebenden Risiko-Nutzen-Abwägung gegenüber und behauptet, der getroffene Behandlungsentscheid sei vertretbar gewesen. Eine willkürliche Beweiswürdigung liegt nicht vor.</w:t>
      </w:r>
    </w:p>
    <w:p>
      <w:r>
        <w:rPr>
          <w:b/>
        </w:rPr>
        <w:t>E. 3.5</w:t>
      </w:r>
    </w:p>
    <w:p>
      <w:r>
        <w:t>Die Beschwerdeführerin beanstandet auch die Erwägungen im angefochtenen Entscheid, mit denen die Vorinstanz eine Sorgfaltspflichtverletzung im Zusammenhang mit der Diagnosestellung bejahte. Sie stützt sich jedoch auch in diesem Zusammenhang auf vom angefochtenen Entscheid abweichende tatsächliche Annahmen zu den angeblich anerkannten Regeln der Medizin bzw. zum Stand der Wissenschaft und behauptet gestützt darauf einmal mehr, die Indikation für eine intravenöse Thrombolyse habe nicht gestellt werden können. Damit zielen auch ihre rechtlichen Vorbringen zur Sorgfaltspflichtverletzung ins Leere. Abgesehen davon zeigt sie mit der blossen Behauptung, zur Beurteilung der Indikation einer intravenösen Thrombolyse habe der bei der neurologischen Untersuchung festgestellte NIH-Score genügt und seien genaue Kenntnisse der Situation der Halsschlagader nicht erforderlich gewesen, keine Willkür auf.</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