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549/2022 vom 24. November 2023</w:t>
      </w:r>
    </w:p>
    <w:p>
      <w:r>
        <w:t>Bundesgericht, 2023-11-24, FR</w:t>
      </w:r>
    </w:p>
    <w:p>
      <w:r>
        <w:rPr>
          <w:b/>
        </w:rPr>
        <w:t xml:space="preserve">Quelle: </w:t>
      </w:r>
      <w:r>
        <w:t>https://mcp.opencaselaw.ch/entscheid/bger_4A_549_2022</w:t>
      </w:r>
    </w:p>
    <w:p>
      <w:r>
        <w:t>FR: TF 4A 549/2022 du 24 novembre 2023</w:t>
      </w:r>
    </w:p>
    <w:p>
      <w:r>
        <w:t>IT: TF 4A 549/2022 del 24 novembre 2023</w:t>
      </w:r>
    </w:p>
    <w:p>
      <w:pPr>
        <w:pStyle w:val="Heading2"/>
      </w:pPr>
      <w:r>
        <w:t>Regeste</w:t>
      </w:r>
    </w:p>
    <w:p>
      <w:r>
        <w:t>contrat de vente; erreur essentielle. | Droit des contrats</w:t>
      </w:r>
    </w:p>
    <w:p>
      <w:pPr>
        <w:pStyle w:val="Heading2"/>
      </w:pPr>
      <w:r>
        <w:t>Erwägungen</w:t>
      </w:r>
    </w:p>
    <w:p>
      <w:r>
        <w:rPr>
          <w:b/>
        </w:rPr>
        <w:t>E. 1</w:t>
      </w:r>
    </w:p>
    <w:p>
      <w:r>
        <w:t>Interjeté en temps utile ( art. 100 al. 1 LTF ) par la partie demanderesse qui a succombé dans ses conclusions ( art. 76 al. 1 LTF ), contre un arrêt final ( art. 90 LTF ), rendu sur appel par le Tribunal supérieur du canton de Genève ( art. 75 LTF ), dans une affaire civile ( art. 72 al. 1 LTF ) dont la valeur litigieuse dépasse 30'000 fr. ( art. 74 al. 1 let. b LTF ), le recours en matière civile est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Les parties sont liées par un contrat de vente d'un fonds de commerce, soit en l'occurrence d'un restaurant. La question litigieuse porte en premier lieu sur le contenu du contrat, en particulier sur l'existence d'une obligation de la partie venderesse de solliciter le renouvellement de son autorisation d'exploitation du restaurant. Subsidiairement, à défaut d'une telle obligation, le litige se porte sur l'existence d'une erreur essentielle de la partie acquéresse, qui pensait que la venderesse se chargerait de ce renouvellement d'autorisation avant le transfert de sa propriété. Dans l'affirmative, la recourante prétend alors à la restitution de son acompte de 195'000 fr. versé sur un compte de consignation, ainsi qu'au paiement par la venderesse d'une dédite de 195'000 fr. pour inexécution du contrat. La cour cantonale a procédé à l'interprétation du contrat. Elle a appliqué la théorie de la confiance, faute d'avoir pu établir une réelle et commune intention des parties sur le point de l'obligation de renouveler la patente. La cour cantonale a interprété l'art. IV ch. 5 de la convention en tant que manifestation de volonté de l'acquéresse - puisque c'est cette dernière qui a rédigé le contrat. Cette clause a la teneur suivante : "dans le cas d'un ajournement pour l'obtention d'une autorisation de construire, les venderesses autorisaient l'acquéresse à exploiter le restaurant "D.________" tel qu'il était à la date de la convention pendant cette période d'attente". La cour cantonale a considéré que l'interprétation de cette clause ne permettait pas d'en déduire une obligation à charge de la venderesse, de s'assurer de la mise à jour de l'autorisation d'exploitation du restaurant avant fin juin. La cour cantonale a également interprété la clause du point de vue de l'acquéresse, mais a laissé ouverte la question de savoir si celle-ci pouvait ou non croire que les venderesses avaient une obligation de faire la demande. Examinant ensuite les conditions de l'erreur essentielle dans laquelle l'acquéresse prétendait se trouver au moment de la signature de la convention, plus spécifiquement l'erreur de base ( art. 24 al. 1 ch. 4 CO ), elle a conclu que l'erreur n'était pas si importante subjectivement pour l'acquéresse, au point que, si elle avait connu la réalité, elle n'aurait pas conclu le contrat. La cour cantonale fonde cette conclusion sur le fait que l'acquéresse, dont les conseils qui ont rédigé la convention devaient connaître la problématique de l'autorisation d'exploitation, aurait prévu expressément cette obligation dans le contrat si cela lui avait été si important. A l'inverse, l'acquéresse a prévu dans le contrat une clause selon laquelle elle connaissait tous les éléments permettant l'appréciation de la valeur du fonds de commerce et qu'elle renonçait à toute garantie de la part des venderesses. Partant, la cour cantonale a considéré que la venderesse n'avait pas failli à l'exécution du contrat, et que l'acquéresse n'était pas dans une erreur essentielle sur les obligations de la venderesse au moment de la signature.</w:t>
      </w:r>
    </w:p>
    <w:p>
      <w:r>
        <w:rPr>
          <w:b/>
        </w:rPr>
        <w:t>E. 4</w:t>
      </w:r>
    </w:p>
    <w:p>
      <w:r>
        <w:t>Invoquant la violation de l' art. 18 CO , la recourante soutient que l'interprétation objective du contenu du contrat de vente du fonds de commerce aurait dû conduire la cour cantonale à retenir une obligation de la venderesse de renouveler son autorisation d'exploitation. Pour la recourante, l'article IV ch. 5 de la convention du 20 juin 2016 impliquait que la venderesse se chargerait de renouveler son autorisation d'exploitation afin de permettre à l'acquéresse d'exploiter le restaurant sous l'enseigne "D.________".</w:t>
      </w:r>
    </w:p>
    <w:p>
      <w:r>
        <w:rPr>
          <w:b/>
        </w:rPr>
        <w:t>E. 4.1</w:t>
      </w:r>
    </w:p>
    <w:p>
      <w:r>
        <w:t>En droit suisse des contrats, la question de savoir si les parties ont conclu un accord est soumise au principe de la priorité de la volonté subjective sur la volonté objective ( ATF 144 III 93 consid. 5.2.1; 123 III 35 consid. 2b). Lorsque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il doit rechercher leur volonté objective, selon le principe de la confiance ( ATF 144 III 93 consid. 5.2.3; arrêt 4A_508/2022 du 3 octobre 2023, consid. 3.1). Il doit déterminer le sens que, d'après les règles de la bonne foi, chacune des parties pouvait et devait raisonnablement prêter aux déclarations de volonté de l'autre, et ce en fonction de l'ensemble des circonstances, c'est-à-dire du contexte dans lequel elles ont traité ( art. 1 al. 1 CO en relation avec l' art. 2 al. 1 CC ). Les circonstances déterminantes à cet égard sont celles qui ont précédé ou accompagné la manifestation de volonté, mais non pas les événements postérieurs (arrêt 4A_643/2020 du 22 octobre 2021 consid. 4.2.2 et 4.2.5 et les références à la doctrine; ATF 144 III 93 consid. 5.2.3 et les arrêts cités). Même si la teneur d'une clause contractuelle paraît claire à première vue, il peut résulter d'autres conditions du contrat, du but poursuivi par les parties ou d'autres circonstances que son texte ne restitue pas exactement le sens de l'accord conclu; il n'y a toutefois pas lieu de s'écarter du sens littéral du texte adopté par les intéressés lorsqu'il n'existe aucune raison sérieuse de penser qu'il ne correspond pas à leur volonté (arrêt 4A_643/2020 précité consid. 4.2.2; ATF 136 III 186 consid. 3.2.1; 135 III 295 consid. 5.2; 129 III 118 consid. 2.5; 127 III 444 consid. 1b). Il sied encore d'ajouter que,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130 III 417 consid. 3.2 et les arrêts cités). La détermination de la volonté objective des parties, selon le principe de la confiance, est une question de droit, que le Tribunal fédéral examine librement; pour la trancher, il doit cependant se fonder sur le contenu des manifestations de volonté et sur les circonstances, lesquelles relèvent du fait ( ATF 144 III 93 consid. 5.2.3 i.f.).</w:t>
      </w:r>
    </w:p>
    <w:p>
      <w:r>
        <w:rPr>
          <w:b/>
        </w:rPr>
        <w:t>E. 4.2</w:t>
      </w:r>
    </w:p>
    <w:p>
      <w:r>
        <w:t>En l'espèce, la cour cantonale a respecté le principe de la priorité de la volonté subjective puisqu'elle n'a cherché la volonté objective qu'après avoir constaté que les parties n'étaient pas parvenues à un accord de fait. Bien que la recourante soutienne que sa volonté de continuer l'exploitation du restaurant après le 31 décembre 2016 devait faire penser à la venderesse qu'il lui incombait de demander le renouvellement de son autorisation, il n'en demeure pas moins que l'acquéresse disposait également du temps nécessaire après la conclusion du contrat pour la demander elle-même, et qu'elle pouvait également s'enquérir de la question du maintien de la patente avant même la signature du contrat, puisque la nouvelle loi cantonale était déjà en vigueur depuis le 1er janvier 2016. Enfin le texte même du contrat ne laisse aucunement transparaître que le droit d'exploiter l'enseigne "D.________" impliquerait une obligation à la charge des venderesses, de demander le renouvellement de l'autorisation d'exploitation du restaurant. La cour cantonale n'a pas violé le droit en tirant une telle conclusion de son interprétation objective de la clause.</w:t>
      </w:r>
    </w:p>
    <w:p>
      <w:r>
        <w:rPr>
          <w:b/>
        </w:rPr>
        <w:t>E. 5</w:t>
      </w:r>
    </w:p>
    <w:p>
      <w:r>
        <w:t>À supposer que la convention de vente ne prévoie pas de clause mettant le renouvellement de l'autorisation d'exploitation à la charge de la venderesse, la recourante soutient qu'elle était alors dans l'erreur au moment de la signature de celle-ci. Elle invoque une violation des art. 23 et 24 CO par la cour cantonale, qui aurait écarté à tort l'existence d'une erreur essentielle. Selon la recourante, son erreur consistait à croire qu'il revenait à la venderesse de renouveler son autorisation d'exploitation du restaurant pour qu'elle-même puisse l'exploiter jusqu'à la délivrance du permis de construire l'autorisant à transformer les locaux et à aménager un nouveau restaurant.</w:t>
      </w:r>
    </w:p>
    <w:p>
      <w:r>
        <w:rPr>
          <w:b/>
        </w:rPr>
        <w:t>E. 5.1</w:t>
      </w:r>
    </w:p>
    <w:p>
      <w:r>
        <w:t>À teneur de l' art. 23 CO , le contrat n'oblige pas celle des parties qui, au moment de conclure, se trouvait dans une erreur essentielle. Il y a erreur lorsqu'une personne, en se faisant une fausse représentation de la situation, manifeste une volonté qui ne correspond pas à celle qu'elle aurait exprimée si elle ne s'était pas trompée (arrêt 4A_217/2009 du 3 novembre 2009 consid. 2.4).</w:t>
      </w:r>
    </w:p>
    <w:p>
      <w:r>
        <w:rPr>
          <w:b/>
        </w:rPr>
        <w:t>E. 5.1.1</w:t>
      </w:r>
    </w:p>
    <w:p>
      <w:r>
        <w:t>L'erreur est essentielle notamment lorsqu'elle porte sur des faits que la loyauté commerciale permettait à celui qui s'en prévaut de considérer comme des éléments nécessaires du contrat ( art. 24 al. 1 ch. 4 CO ).</w:t>
      </w:r>
    </w:p>
    <w:p>
      <w:r>
        <w:rPr>
          <w:b/>
        </w:rPr>
        <w:t>E. 5.1.2</w:t>
      </w:r>
    </w:p>
    <w:p>
      <w:r>
        <w:t>Selon l' art. 31 al. 1 et 2 CO , la partie qui invoque son erreur doit le faire dans un délai d'une année dès la découverte du vice, à défaut de quoi le contrat est tenu pour ratifié. En outre, lorsque la partie qui invoque son erreur opte pour l'action en garantie des défauts, elle ratifie implicitement le contrat; en effet, l'action en garantie implique un contrat existant ( ATF 127 III 83 consid. 1b; arrêt 4A_535/2021 du 6 mai 2022 consid. 7.1).</w:t>
      </w:r>
    </w:p>
    <w:p>
      <w:r>
        <w:rPr>
          <w:b/>
        </w:rPr>
        <w:t>E. 5.2</w:t>
      </w:r>
    </w:p>
    <w:p>
      <w:r>
        <w:t>La cour cantonale a considéré que les avocats de l'acquéresse, ayant rédigé le contrat après l'entrée en vigueur de la nouvelle loi cantonale genevoise sur la restauration, le débit de boissons et l'hébergement (LRDBH), ne pouvaient pas ignorer la nécessité de requérir une nouvelle autorisation d'exploitation et qu'il incombait alors à l'acquéresse de prévoir dans la convention une réglementation sur la question du renouvellement de l'autorisation - laquelle était encore possible au moment de la signature. Au lieu de cela, l'acquéresse a prévu une clause selon laquelle elle connaissait tous les éléments permettant l'appréciation de la valeur du fonds de commerce et qu'elle renonçait à toute garantie de la part de la venderesse. La cour cantonale a considéré que les avocats de l'acquéresse auraient réglé le sort de cette question dans le contrat si cette condition avait été déterminante pour la conclusion du contrat. Par ces motifs, la cour cantonale a considéré que l'éventuelle obligation de la venderesse d'effectuer les démarches en vue de la mise en conformité de l'ancienne autorisation n'était pas un fait essentiel au sens de l' art. 24 al. 1 ch. 4 CO pour l'acquéresse, au point que celle-ci n'aurait pas signé la convention si elle avait su qu'elle n'existait pas.</w:t>
      </w:r>
    </w:p>
    <w:p>
      <w:r>
        <w:rPr>
          <w:b/>
        </w:rPr>
        <w:t>E. 5.3</w:t>
      </w:r>
    </w:p>
    <w:p>
      <w:r>
        <w:t>La Cour de céans peut se dispenser d'examiner les griefs à l'encontre de la motivation de la cour cantonale sur la question du caractère essentiel de l'erreur de la recourante. En effet, quoi qu'il en soit, la recourante ne s'est pas prévalue de son erreur dans le délai d'un an dès la découverte de celle-ci prescrit par l' art. 31 al. 1 CO . Ce délai, péremptoire, se relève d'office. Lorsqu'elle prétend avoir réalisé que la venderesse ne disposait plus d'autorisation d'exploitation au-delà de la fin de l'année 2016, la recourante a écrit à la venderesse par la plume de son administrateur C.________, avocat, un e-mail du 26 octobre 2016 indiquant qu'elle était disposée à signer un avenant reportant les effets du transfert. Le 20 décembre 2016, elle a déclaré se départir de la convention et réclamer, en vertu de l'art. IV de cette même convention, 195'000 fr. à titre de dédite, en plus de la restitution de son acompte de 195'000 fr. Elle ne s'est pas prévalue d'une erreur, mais d'une violation contractuelle. Ce n'est qu'à dater de l'introduction de l'instance, par requête du 17 janvier 2018, soit plus d'un an après avoir découvert que les venderesses ne disposeraient plus d'autorisation d'exploitation après la fin 2016, que la recourante a mentionné s'être trouvée dans l'erreur au moment de la signature. Partant, le délai péremptoire d'un an dès la découverte de l'erreur était écoulé. De plus, la recourante a effectivement ratifié la convention. En effet, au lieu de se prévaloir de son erreur et de la nullité du contrat qui en serait la conséquence, elle a, au contraire, reproché à sa cocontractante une inexécution de la convention et s'est prévalue d'une indemnité en vertu de celle-ci, de 195'000 fr. en sa faveur. Ce faisant, elle a ratifié le contrat puisqu'elle a choisi la voie de l'inexécution prévue par le contrat lui-même. En définitive, que son erreur soit essentielle au sens de l' art. 24 al. 1 ch. 4 CO ou non ne change rien, puisque la recourante n'a pas déclaré à temps invalider le contrat pour cause d'erreur et l'a ratifié. Par conséquent, son grief fondé sur la violation de l' art. 24 CO est rejeté.</w:t>
      </w:r>
    </w:p>
    <w:p>
      <w:r>
        <w:rPr>
          <w:b/>
        </w:rPr>
        <w:t>E. 6</w:t>
      </w:r>
    </w:p>
    <w:p>
      <w:r>
        <w:t>Il suit de là que la venderesse n'a pas violé le contrat dès lors que celui-ci ne l'obligeait pas à se charger de renouveler la patente du restaurant dans le cadre de la vente de celui-ci, et que l'acquéresse ne s'est pas départie du contrat, faute d'avoir invoqué une éventuelle erreur essentielle à temps. Cette dernière n'a par conséquent pas droit au remboursement de son acompte de 195'000 fr. puisqu'elle n'a pas invalidé le contrat, ni au paiement par la venderesse d'une peine conventionnelle de 195'000 fr. puisque celle-ci n'a pas violé ses obligations contractuelles.</w:t>
      </w:r>
    </w:p>
    <w:p>
      <w:r>
        <w:rPr>
          <w:b/>
        </w:rPr>
        <w:t>E. 7</w:t>
      </w:r>
    </w:p>
    <w:p>
      <w:r>
        <w:t>Dès lors qu'ils n'ont aucune conséquence sur l'issue du litige, les griefs en contestation de l'état de fait de la recourante n'ont pas à être examinés ( art. 97 al. 1 LTF ).</w:t>
      </w:r>
    </w:p>
    <w:p>
      <w:r>
        <w:rPr>
          <w:b/>
        </w:rPr>
        <w:t>E. 8</w:t>
      </w:r>
    </w:p>
    <w:p>
      <w:r>
        <w:t>Au vu de ce qui précède, le recours est rejeté aux frais de la recourante. Celle-ci versera une indemnité de dépens à l'intimée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