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549/2020 vom 7. Dezember 2020</w:t>
      </w:r>
    </w:p>
    <w:p>
      <w:r>
        <w:t>Bundesgericht, 2020-12-07, DE</w:t>
      </w:r>
    </w:p>
    <w:p>
      <w:r>
        <w:rPr>
          <w:b/>
        </w:rPr>
        <w:t xml:space="preserve">Quelle: </w:t>
      </w:r>
      <w:r>
        <w:t>https://mcp.opencaselaw.ch/entscheid/bger_4A_549_2020</w:t>
      </w:r>
    </w:p>
    <w:p>
      <w:r>
        <w:t>FR: TF 4A 549/2020 du 7 décembre 2020</w:t>
      </w:r>
    </w:p>
    <w:p>
      <w:r>
        <w:t>IT: TF 4A 549/2020 del 7 dicembre 2020</w:t>
      </w:r>
    </w:p>
    <w:p>
      <w:pPr>
        <w:pStyle w:val="Heading2"/>
      </w:pPr>
      <w:r>
        <w:t>Regeste</w:t>
      </w:r>
    </w:p>
    <w:p>
      <w:r>
        <w:t>Ausweisung, | Vertragsrecht</w:t>
      </w:r>
    </w:p>
    <w:p>
      <w:pPr>
        <w:pStyle w:val="Heading2"/>
      </w:pPr>
      <w:r>
        <w:t>Erwägungen</w:t>
      </w:r>
    </w:p>
    <w:p>
      <w:r>
        <w:rPr>
          <w:b/>
        </w:rPr>
        <w:t>E. 1</w:t>
      </w:r>
    </w:p>
    <w:p>
      <w:r>
        <w:t>Die Sachurteilsvoraussetzungen sind erfüllt, insbesondere auch das Streitwerterfordernis von Art. 74 Abs. 1 lit. a BGG mit einem von der Vorinstanz ausgewiesenen Streitwert von Fr. 390'000.--, und geben zu keinen Bemerkungen Anlass. Unter Vorbehalt einer rechtsgenüglichen Begründung ( Art. 42 Abs. 2 und Art. 106 Abs. 2 BGG ; vgl. Erwägung 2) ist daher auf die Beschwerde einzutreten.</w:t>
      </w:r>
    </w:p>
    <w:p>
      <w:r>
        <w:rPr>
          <w:b/>
        </w:rPr>
        <w:t>E. 2.1</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andern Rechtsschriften oder auf die Akten reicht nicht aus ( BGE 144 V 173 E. 3.2.2; 140 III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Diese Grundsätze verkennen die Beschwerdeführer in ihrer Beschwerdeschrift zu grossen Teilen.</w:t>
      </w:r>
    </w:p>
    <w:p>
      <w:r>
        <w:rPr>
          <w:b/>
        </w:rPr>
        <w:t>E. 3.1</w:t>
      </w:r>
    </w:p>
    <w:p>
      <w:r>
        <w:t>Sie tragen zunächst unter dem Titel "Materielles" den Sachverhalt aus ihrer eigenen Sicht vor und gehen dabei frei über die von der Vorinstanz festgestellten Tatsachen hinaus, ohne eine rechtsgenügliche Sachverhaltsrüge zu erheben (Erwägung 2.2). Die Beschwerdeführer stützen sich sodann darauf, dass die Beschwerdegegnerin nicht substanziiert behauptet habe, dass sich das Mietobjekt in einem vertragsgemässen Zustand befinde, dass der abgemahnte Betrag in der Kündigungsandrohung unzutreffend war und dass keine offenen Mietschulden bestünden. Sie gehen auch damit über die Sachverhaltsfeststellungen der Vorinstanz hinaus, ohne hinreichende Sachverhaltsrügen nach den oben genannten Grundsätzen zu erheben (Erwägung 2.2). Auf diese tatsächlichen Elemente können sie sich nicht stützen. Entsprechend hat auch die auf die eigene Sachdarstellung abgestützte Rechtsrüge keinen Erfolg.</w:t>
      </w:r>
    </w:p>
    <w:p>
      <w:r>
        <w:rPr>
          <w:b/>
        </w:rPr>
        <w:t>E. 3.2</w:t>
      </w:r>
    </w:p>
    <w:p>
      <w:r>
        <w:t>Die Beschwerdeführer monieren, es liege kein klarer Fall vor, der im Rechtsschutz in klaren Fällen beurteilt werden könne. Weiter sei kein Mietzins geschuldet gewesen und die Vorinstanzen hätten im Zusammenhang mit den beanstandeten Mängeln am Mietobjekt eine unzulässige Umkehr der Beweislast vorgenommen. Die Beschwerdegegnerin hätte darlegen müssen, dass sich die Liegenschaft in einem vertragsgemässen Zustand befinde und dass sie über eine Bezugsfreigabe verfüge. Die Vorinstanz sei sodann zu Unrecht von einer Rohbaumiete ausgegangen, aber die Liegenschaft würde nicht einmal den Anforderungen an eine Rohbaumiete genügen. Die Vorinstanz hätte alsdann ihre Vorbringen in der Duplik zu beachten und den Sachverhalt von Amtes wegen ermitteln müssen. Schliesslich sei die Vorinstanz zu Unrecht davon ausgegangen, die Beschwerdegegnerin sei mit den Verhandlungen über die Mietzinshöhe nicht einverstanden gewesen. Bereits die Vorinstanz ging im Einzelnen auf diese Vorbringen ein. Vor Bundesgericht setzen sich die Beschwerdeführer nicht rechtsgenüglich mit den einzelnen Erwägungen der Vorinstanz auseinander (Erwägung 2.1), geschweige denn zeigen sie mit ihren Ausführungen hinreichend auf, inwiefern die Vorinstanz bei den einzelnen Erwägungen Bundesrecht verletzt hätte. Auf diese Vorbringen ist somit nicht einzutreten.</w:t>
      </w:r>
    </w:p>
    <w:p>
      <w:r>
        <w:rPr>
          <w:b/>
        </w:rPr>
        <w:t>E. 4</w:t>
      </w:r>
    </w:p>
    <w:p>
      <w:r>
        <w:t>Die Beschwerdeführer reichten nach Ablauf der Beschwerdeschrift eine weitere, als "Erkenntniseingabe" bezeichnete Rechtsschrift ein. Sie verkennen damit zunächst, dass die Beschwerde innert der Beschwerdefrist vollständig begründet einzureichen ist (vgl. Art. 42 Abs. 1 BGG ). Darüber hinaus übergehen sie in ihrer nachträglichen Eingabe die Novenregelung für das bundesgerichtliche Verfahren: Sie machen geltend, dass sie "Anfang und Mitte November 2020" Anhaltspunkte über Unregelmässigkeiten bei den Baubewilligungen erhalten haben. Soweit sie damit Tatsachen ins bundesgerichtliche Verfahren einführen möchten, die sich erst nach dem angefochtenen Entscheid der Vorinstanz vom 11. September 2020 ereigneten oder entstanden sind, können diese Vorbringen nicht berücksichtigt werden. Echte Noven sind vor Bundesgericht unzulässig ( BGE 143 V 19 E. 1.2 S. 23; 140 V 543 E. 3.2.2.2 S. 548). Im Übrigen dürfen nach Art. 99 Abs. 1 BGG neue Tatsachen und Beweismittel vor Bundesgericht nur so weit vorgebracht werden, als erst der Entscheid der Vorinstanz dazu Anlass gibt, was in der Beschwerde näher darzulegen ist ( BGE 143 V 19 E. 1.2 S. 23; 136 III 261 E. 4.1 S. 266). Diesbezüglich behaupten die Beschwerdeführer bloss ohne weitere Begründung, dass erst der Entscheid der Vorinstanz ihnen Anlass gegeben habe, die Baubewilligungen der Vermieter genauer anzusehen. Das ist ungenügend. Der vorinstanzliche Verfahrensausgang allein bildet noch keinen hinreichenden Anlass im Sinne von Art. 99 Abs. 1 BGG für die Zulässigkeit von unechten Noven, die bereits im kantonalen Verfahren ohne Weiteres hätten vorgebracht werden können ( BGE 143 V 19 E. 1.2 S. 23).</w:t>
      </w:r>
    </w:p>
    <w:p>
      <w:r>
        <w:rPr>
          <w:b/>
        </w:rPr>
        <w:t>E. 5.1</w:t>
      </w:r>
    </w:p>
    <w:p>
      <w:r>
        <w:t>Die Beschwerdeführer rügen, die Vorinstanz behaupte, die Parteien wollten die Unterscheidung zwischen Nicht- und Schlechtleistung beseitigen. Dieser Behauptung könne nicht gefolgt werden, zumal die Vorinstanz diese Annahme nicht begründe, womit sie das rechtliche Gehör der Beschwerdeführer verletzt habe. Es ist nicht so, dass die Vorinstanz den Standpunkt eingenommen hätte, die Parteien wollten die Unterscheidung zwischen Nicht- und Schlechtleistung beseitigen. Die Vorinstanz erwog vielmehr das Gegenteil, nämlich es ergebe sich nicht aus der vertraglichen Vereinbarung, dass die Parteien die Unterscheidung zwischen Nicht- und Schlechtleistungen, die das Gesetz vorsehe, beseitigen und die mängelfreie Bereitstellung der Mietersache zur Bedingung für die Gegenleistung machen wollten (angefochtener Entscheid, E. 3.1 S. 8). Die Rüge der Beschwerdeführer geht damit ins Leere. Auch die in diesem Zusammenhang behauptete Verletzung der Begründungspflicht ist offensichtlich unbegründet: Um den Vorgaben von Art. 29 Abs. 2 BV zu genügen, muss die Begründung so abgefasst sein, dass sich die betroffene Person über die Tragweite des angefochtenen Entscheids Rechenschaft geben und ihn in voller Kenntnis der Sache an die höhere Instanz weiterziehen kann ( BGE 145 III 324 E. 6.1 S. 326 mit Hinweisen). Das ist hier entgegen der Auffassung der Beschwerdeführer zweifellos der Fall, denn die Vorinstanz legte in Erwägung 3 S. 7 f. ihre Überlegungen zur "Mietzinsvereinbarung/Fertigstellung" klar dar. Diese Begründung erlaubt es den Beschwerdeführern ohne Weiteres, den Entscheid der Vorinstanz an das Bundesgericht weiterzuziehen.</w:t>
      </w:r>
    </w:p>
    <w:p>
      <w:r>
        <w:rPr>
          <w:b/>
        </w:rPr>
        <w:t>E. 5.2</w:t>
      </w:r>
    </w:p>
    <w:p>
      <w:r>
        <w:t>Das Gleiche gilt, wenn die Beschwerdeführer im Zusammenhang mit der Beanstandungslast eine Verletzung des rechtlichen Gehörs rügen. Auch hier ist weder hinreichend dargetan (Erwägung 2.1), noch ersichtlich, inwiefern es den Beschwerdeführern nicht möglich gewesen wäre, den Entscheid der Vorinstanz anzufechten.</w:t>
      </w:r>
    </w:p>
    <w:p>
      <w:r>
        <w:rPr>
          <w:b/>
        </w:rPr>
        <w:t>E. 6</w:t>
      </w:r>
    </w:p>
    <w:p>
      <w:r>
        <w:t>Die Beschwerdeführer monieren, ein Herabsetzungsanspruch bestehe entgegen den Ausführungen der Vorinstanz nicht nur bei nicht behebbaren Mängeln. Ein Herabsetzungsanspruch bestehe bereits, wenn das Mietobjekt nicht alle vertraglichen Merkmale aufweise. Insofern seien die Ausführungen der Vorinstanzen "falsch". Indem die Beschwerdeführer die Erwägungen der Vorinstanz bloss pauschal als "falsch" bezeichnen, legen sie nicht hinreichend dar, worin die Verletzung von Bundesrecht liegt (Erwägung 2.1). Im Übrigen ist auch diese Rüge nicht nachvollziehbar, erwogen doch beide Vorinstanzen, dass bei behebbaren Mängeln, die Mieter den Mietzins nicht einfach zurückhalten dürften, wie dies der Standpunkt der Beschwerdeführer ist (oder zumindest vor den Vorinstanzen war), sondern in diesem Fall allein die Hinterlegung nach Art. 259g OR offenstünde.</w:t>
      </w:r>
    </w:p>
    <w:p>
      <w:r>
        <w:rPr>
          <w:b/>
        </w:rPr>
        <w:t>E. 7</w:t>
      </w:r>
    </w:p>
    <w:p>
      <w:r>
        <w:t>Schliesslich tragen die Beschwerdeführer bezüglich der erstinstanzlichen Kosten- und Entschädigungsfolgen vor, die Vorinstanz führe aus, "die Höhe und Auferlegung der Kosten seien nicht zu beanstanden, weshalb es damit sein Bewenden habe". Damit verletze die Vorinstanz erneut die Begründungspflicht. Auch diese Rüge geht an der Sache vorbei. Die Vorinstanz erklärte nicht, dass die Kostenfolgen des erstinstanzlichen Verfahrens nicht zu beanstanden seien, sondern sie erwog, dass die Kostenfolgen des erstinstanzlichen Prozesses "nicht beanstandet" seien (angefochtener Entscheid, E. 10 S. 12). Die Vorinstanz erwog mit anderen Worten, dass die Beschwerdeführer im vorinstanzlichen Verfahren die erstinstanzlichen Kosten- und Entschädigungsfolgen nicht angefochten haben, womit es sich für die Vorinstanz erübrigte, diese Punkte des erstinstanzlichen Entscheids zu überprüfen. Es hat damit sein Bewenden.</w:t>
      </w:r>
    </w:p>
    <w:p>
      <w:r>
        <w:rPr>
          <w:b/>
        </w:rPr>
        <w:t>E. 8</w:t>
      </w:r>
    </w:p>
    <w:p>
      <w:r>
        <w:t>Das Gesuch um Erteilung der aufschiebenden Wirkung wird mit dem Entscheid in der Sache selbst gegenstandslos.</w:t>
      </w:r>
    </w:p>
    <w:p>
      <w:r>
        <w:rPr>
          <w:b/>
        </w:rPr>
        <w:t>E. 9</w:t>
      </w:r>
    </w:p>
    <w:p>
      <w:r>
        <w:t>Die Beschwerde ist nach dem Ausgeführten im Verfahren nach Art. 109 Abs. 2 lit. a und Abs. 3 BGG mit summarischer Begründung abzuweisen, soweit darauf überhaupt eingetreten werden kann. Bei diesem Ausgang des Verfahrens werden die Beschwerdeführer in solidarischer Haftung kostenpflichtig ( Art. 66 Abs. 1 und 5 BGG ). Der Beschwerdegegnerin, die sich nur zum Gesuch um aufschiebende Wirkung zu äussern hatte und keine Stellungnahme hierzu einreichte,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