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549/2016 vom 9. Februar 2017</w:t>
      </w:r>
    </w:p>
    <w:p>
      <w:r>
        <w:t>Bundesgericht, 2017-02-09, DE</w:t>
      </w:r>
    </w:p>
    <w:p>
      <w:r>
        <w:rPr>
          <w:b/>
        </w:rPr>
        <w:t xml:space="preserve">Quelle: </w:t>
      </w:r>
      <w:r>
        <w:t>https://mcp.opencaselaw.ch/entscheid/bger_4A_549_2016</w:t>
      </w:r>
    </w:p>
    <w:p>
      <w:r>
        <w:t>FR: TF 4A 549/2016 du 9 février 2017</w:t>
      </w:r>
    </w:p>
    <w:p>
      <w:r>
        <w:t>IT: TF 4A 549/2016 del 9 febbraio 2017</w:t>
      </w:r>
    </w:p>
    <w:p>
      <w:pPr>
        <w:pStyle w:val="Heading2"/>
      </w:pPr>
      <w:r>
        <w:t>Regeste</w:t>
      </w:r>
    </w:p>
    <w:p>
      <w:r>
        <w:t>Mietzinsherabsetzung | Vertragsrecht</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der Streitwert in dieser mietrechtlichen Angelegenheit ist erreicht ( Art. 74 Abs. 1 lit. a BGG ) und die Beschwerdeführer, die mit ihren Begehren nicht vollständig obsiegt haben ( Art. 76 BGG ), sind zur Beschwerde legitimiert und haben diese fristgerecht eingereicht ( Art. 100 Abs. 1 BGG ). Auf die Beschwerde ist - unter Vorbehalt hinreichender Begründung ( Art. 42 Abs. 2 und Art. 106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 rügen, die Vorinstanz habe die materielle Berechtigung des Mietzinsvorbehalts von 12.44 % zu Unrecht bejaht. Die Vorinstanz hat den umstrittenen Mietzinsvorbehalt im Mietvertrag als ausgewiesen erachtet, da er rechnerisch unbestritten der teuerungsbedingten Erhöhungsmöglichkeit entsprach und sodann die vorbehaltene Kostenteuerung für die Periode zwischen 1991 und 2002 nicht übermässig erschien.</w:t>
      </w:r>
    </w:p>
    <w:p>
      <w:r>
        <w:rPr>
          <w:b/>
        </w:rPr>
        <w:t>E. 3.1</w:t>
      </w:r>
    </w:p>
    <w:p>
      <w:r>
        <w:t>Da der Anfangsmietzins grundsätzlich absolut kontrolliert wird ( BGE 120 II 240 E. 2), muss ein im Vertrag angebrachter Mietzinsvorbehalt sich auf die absolute Methode beziehen und darf nur solche Gründe anführen, die unabhängig vom konkreten Vertragsverhältnis bestehen. Der Vermieter kann sich lediglich vorbehalten, er erziele keinen genügenden Nettoertrag ( Art. 269 OR ), der Mietzins entspreche nicht der Orts- oder Quartierüblichkeit ( Art. 269a lit. a OR ) oder er liege nicht im Rahmen der kostendeckenden Bruttorendite ( Art. 269a lit. c OR ). Den Parteien ist es allerdings unbenommen, die bisherige Mietzinsführung fortzusetzen und einer relativen Berechnungsmethode zu unterstellen. Diesfalls kann der Vermieter den Vorbehalt auch auf die ungenügende Erhöhung beziehen, insbesondere geltend machen, die Teuerung oder die Kostensteigerung seien nicht ausgeschöpft. Vorausgesetzt ist indessen, dass der Vermieter den Mietzins des früheren Mietverhältnisses in das neue überführt. Eine Neufestsetzung des Mietzinses nach der absoluten Methode ist dabei ausgeschlossen. In diesem Fall findet die relative Berechnungsmethode Anwendung, die das Vertrauen des Mieters in das bisherige rechtsgeschäftliche Verhalten seines Vertragspartners schützt. Danach darf er davon ausgehen, der vertraglich vereinbarte oder nachträglich angepasste Mietzins verschaffe dem Vermieter einen zulässigen und genügenden Ertrag, sofern dessen Ungenügen nicht durch eine hinreichende Vorbehaltserklärung zum Ausdruck gebracht wurde ( Art. 18 VMWG ; BGE 118 II 124 und 130). Die relative Methode hat diesfalls gegenüber der absoluten Vorrang, soweit eine relativ an sich zulässige Forderung keinen absolut missbräuchlichen Ertrag ergibt. Demgegenüber ist eine Vermischung der beiden Systeme ausgeschlossen. Dem Vermieter ist es daher untersagt, den Anfangsmietzins nach der absoluten Methode neu festzulegen sowie erheblich zu erhöhen und darüber hinaus sich relative Erhöhungsgründe, die in das frühere Mietverhältnis zurückreichen, vorzubehalten (zum Ganzen: Urteil 4C.391/1994 vom 7. August 1995 E. 2c).</w:t>
      </w:r>
    </w:p>
    <w:p>
      <w:r>
        <w:rPr>
          <w:b/>
        </w:rPr>
        <w:t>E. 3.2</w:t>
      </w:r>
    </w:p>
    <w:p>
      <w:r>
        <w:t>Auch in Verfahren, in denen - wie vorliegend - die soziale Untersuchungsmaxime gilt, der Richter also den Sachverhalt von Amtes wegen abklären muss, sind die Parteien verpflichtet, dem Gericht die wesentlichen anspruchsbegründenden Behauptungen zu unterbreiten bzw. aktiv bei der Feststellung des entscheidwesentlichen Sachverhalts mitzuwirken. Sie haben die relevanten Fakten vorzubringen und die allenfalls zu erhebenden Beweismittel nach Möglichkeit zu bezeichnen ( BGE 141 III 569 E. 2.3.2; Urteil 4A_561/2014 vom 16. Dezember 2014 E. 3.1.2). Nach dem Willen des Gesetzgebers obliegt dem Gericht bei der sozialen Untersuchungsmaxime einzig eine verstärkte Fragepflicht. Wie im Rahmen der Verhandlungsmaxime, die im ordentlichen Verfahren anwendbar ist, haben die Parteien dem Gericht den Sachverhalt zu unterbreiten. Das Gericht hilft ihnen lediglich durch sachgemässe Fragen, damit die notwendigen Behauptungen gemacht und die dazugehörigen Beweismittel bezeichnet werden. Es stellt aber keine eigenen Ermittlungen an. Wenn die Parteien durch einen Anwalt vertreten sind, darf und soll sich das Gericht, wie im ordentlichen Verfahren, zurückhalten ( BGE 141 III 569 E. 2.3.1; Urteil 4A_333/2015 vom 27. Januar 2016 E. 6.1 mit Hinweisen).</w:t>
      </w:r>
    </w:p>
    <w:p>
      <w:r>
        <w:rPr>
          <w:b/>
        </w:rPr>
        <w:t>E. 3.3</w:t>
      </w:r>
    </w:p>
    <w:p>
      <w:r>
        <w:t>Die Beschwerdegegnerin hat den Mietzinsvorbehalt im Mietvertrag damit begründet, sie habe Teuerung und Kostensteigerungen seit 1991 nicht ausgeschöpft. Damit hat sie sich auf relative Erhöhungsgründe berufen und entsprechend erklärt, die bisherige Mietzinsführung fortsetzen zu wollen. Der Mietzinsvorbehalt beruht auf der sinngemässen Erklärung, die Beschwerdeführer würden denselben Mietzins bezahlen wie ihre Vormieter und diese hätten einen nicht-missbräuchlichen Mietzins - mit Teuerung bereinigt nur per 1991 und ausgeglichenen Kosten nur per 1991 - bezahlt. Wenn sich die Beschwerdegegnerin im Herabsetzungsverfahren auf diesen Mietzinsvorbehalt berief, hat sie die entsprechenden - schlüssigen - Behauptungen aufgestellt. Die Beschwerdeführer rügen nicht, dass die Vorinstanz im angefochtenen Urteil den Prozesssachverhalt willkürlich festgestellt habe. Die Vorinstanz hat festgestellt, das Mietgericht habe den Mietzinsvorbehalt formell als gültig erachtet, was nicht mehr streitig sei. Weiter stellte die Vorinstanz fest, dass die Beschwerdeführer in der Berufung rügten, das Mietgericht habe zu Unrecht die materielle Berechtigung der Kostensteigerung bejaht. Die Beschwerdeführer hätten vorgebracht, das Mietgericht hätte die Vermieterin in Anwendung der richterlichen Fragepflicht auffordern müssen, Unterlagen zur tatsächlichen Entwicklung der Unterhaltskosten einzureichen. Nach den Feststellungen der Vorinstanz haben die Beschwerdeführer indessen erst im Berufungsverfahren gerügt, die Beschwerdegegnerin hätte die materielle Berechtigung des Mietzinsvorbehalts beweisen müssen - und auch diese Rüge haben sie im Berufungsverfahren nur in Bezug auf die vorbehaltene Kostensteigerung, nicht in Bezug auf die vorbehaltene Teuerung angebracht. Soweit die Beschwerdeführer Gegenteiliges vorbringen, ist auf ihre Beschwerde nicht einzutreten. Eine materielle Beurteilung des relativ formulierten Mietzinsvorbehalts ist ohne konkrete Kenntnis des Vormietverhältnisses nicht möglich. Entsprechend hätte sich eine materielle Bestreitung der Gültigkeit des Vorbehalts auf den Mietvertrag des Vormieters - allenfalls im Vergleich zu jenem der Beschwerdeführer - beziehen müssen. Nach den verbindlichen Feststellungen der Vorinstanz haben die anwaltlich vertretenen Beschwerdeführer entsprechende Vorbringen aber unterlassen. Die Beschwerdegegnerin war daher nicht veranlasst, in Bezug auf den Vormietvertrag nähere Ausführungen zu machen und entsprechende Beweise anzubieten bzw. vorzulegen. Ebensowenig war die erste Instanz oder die Vorinstanz im Rahmen der sozialen Untersuchungsmaxime gehalten, die Beschwerdegegnerin zu detaillierten Vorbringen oder zur Einreichung von Beweisen aufzufordern.</w:t>
      </w:r>
    </w:p>
    <w:p>
      <w:r>
        <w:rPr>
          <w:b/>
        </w:rPr>
        <w:t>E. 4</w:t>
      </w:r>
    </w:p>
    <w:p>
      <w:r>
        <w:t>Die Beschwerde in Bezug auf den Mietzinsvorbehalt ist als unbegründet abzuweisen, soweit darauf einzutreten ist. Die Neuverlegung der Gerichtskosten verlangen die Beschwerdeführer nur für den Fall des Obsiegens, wie sich aus der Begründung ergibt. Damit ist die Beschwerde insgesamt abzuweisen, soweit darauf einzutreten ist. Bei diesem Ausgang des Verfahrens sind die Gerichtskosten den Beschwerdeführern zu auferlegen ( Art. 66 Abs. 1 BGG ) und sie haben der anwaltlich vertretenen Beschwerdegegnerin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