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4A_547/2008 vom 5. Februar 2009</w:t>
      </w:r>
    </w:p>
    <w:p>
      <w:r>
        <w:t>Bundesgericht, 2009-02-05, FR</w:t>
      </w:r>
    </w:p>
    <w:p>
      <w:r>
        <w:rPr>
          <w:b/>
        </w:rPr>
        <w:t xml:space="preserve">Quelle: </w:t>
      </w:r>
      <w:r>
        <w:t>https://mcp.opencaselaw.ch/entscheid/bger_4A_547_2008</w:t>
      </w:r>
    </w:p>
    <w:p>
      <w:r>
        <w:t>FR: TF 4A_547/2008 du 5 février 2009</w:t>
      </w:r>
    </w:p>
    <w:p>
      <w:r>
        <w:t>IT: TF 4A_547/2008 del 5 febbraio 2009</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30'000 fr. (art. 51 al. 1 let. a et 74 al. 1 let. b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Aux termes de l' art. 837 al. 1 ch. 3 CC , les artisans et entrepreneurs peuvent requérir l'inscription d'une hypothèque légale sur l'immeuble pour lequel ils ont fourni des matériaux et du travail, ou du travail seulement, en garantie de leurs créances contre le propriétaire ou un autre entrepreneur. Selon l' art. 839 al. 1 et 2 CC , l'inscription peut intervenir dès le jour où l'entrepreneur s'est obligé à exécuter l'ouvrage promis, et au plus tard dans les trois mois qui suivent l'achèvement des travaux.</w:t>
      </w:r>
    </w:p>
    <w:p>
      <w:r>
        <w:t>En l'espèce, la demanderesse prétend avoir achevé les travaux qu'elle avait promis et elle revendique un droit de gage pour une créance échue, déterminée aux termes de l' art. 794 al. 1 CC , correspondant à la part du prix total qui ne lui a pas été payée. La défenderesse, propriétaire des immeubles à assujettir, n'a pas contesté que Z.________ Sàrl dût encore 240'750 fr.35 sur le prix total à verser par elle. Ce point semble donc établi. Il restait à élucider quels étaient les travaux promis par la demanderesse, d'une part, et il fallait vérifier si elle les avait entièrement accomplis, d'autre part ( ATF 126 III 467 consid. 4d p. 474).</w:t>
      </w:r>
    </w:p>
    <w:p>
      <w:r>
        <w:t>Au regard de l' art. 8 CC qui répartit le fardeau de la preuve dans les contestations soumises au droit civil fédéral, il s'agissait de faits générateurs dont la preuve incombait à la demanderesse (cf. ATF 130 III 321 consid. 3.1 p. 323; 128 III 271 consid. 2a/aa p. 273; 132 III 183 consid. 8.3 p. 206); en cas d'échec de la preuve, la Cour de justice devait donc statuer au détriment de cette partie-ci ( ATF 126 III 189 consid. 2b p. 191/192; voir aussi ATF 132 III 689 consid. 4.5 p. 701/702). Pour le surplus, l' art. 8 CC ne régit pas l'appréciation des preuves ( ATF 131 III 222 consid. 4.3 p. 226; 129 III 18 consid. 2.6 p. 24/25).</w:t>
      </w:r>
    </w:p>
    <w:p>
      <w:r>
        <w:t>Selon la décision attaquée, la preuve n'a pas été apportée et c'est pourquoi l'action est rejetée. La demanderesse reproche à la Cour de justice, au sujet de la preuve, d'avoir violé l' art. 9 Cst. en appréciant arbitrairement les pièces qui lui étaient soumises.</w:t>
      </w:r>
    </w:p>
    <w:p>
      <w:r>
        <w:rPr>
          <w:b/>
        </w:rPr>
        <w:t>E. 3</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spécialement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w:t>
      </w:r>
    </w:p>
    <w:p>
      <w:r>
        <w:t>Le contrat souscrit le 10 juin 2004 n'indique pas, autrement que par l'expression « CFC 24 chauffage », quels étaient les travaux auxquels la demanderesse s'engageait envers Z.________ Sàrl. Dans son recours au Tribunal fédéral, la demanderesse énumère une partie des prestations que cette société-ci avait promises à la défenderesse, d'après le devis du 2 décembre 2003; selon ses affirmations, son propre contrat portait sur ces travaux qui lui étaient désormais sous-traités. Elle fait valoir pour preuve que les montants concernés se retrouvent dans un tableau portant son nom, daté du 10 juin 2004 et revêtu d'initiales manuscrites correspondant, apparemment, à celles visibles sur le contrat. Il s'agit prétendument d'une annexe au contrat. Pourtant, rien ne relie les deux documents, hormis ces paraphes et le total de 868'544 francs. Le tableau n'a d'ailleurs pas été produit en justice par la demanderesse et avec le contrat; il se trouve au contraire dans les pièces de la défenderesse. Il indique aussi la valeur des « travaux effectués » à la fin de chacun des mois d'avril à septembre 2004, de sorte que la date du 10 juin 2004 est sujette à caution; le tableau semble plutôt postérieur au 30 septembre 2004.</w:t>
      </w:r>
    </w:p>
    <w:p>
      <w:r>
        <w:t>La facture finale du 31 mai 2005 n'indique pas non plus les travaux censément accomplis. Pour affirmer qu'elle a entièrement exécuté ce qu'elle avait promis, la demanderesse se réfère à un procès-verbal de réception daté du 20 juin 2005. Il s'agit de la réception, par la défenderesse, de l'ouvrage commandé à Z.________ Sàrl. Il ressort du procès-verbal que l'ouvrage finalement livré était moins important que celui voulu à l'origine: la défenderesse s'est satisfaite de la pose de trois cent quatorze ventilo-convecteurs alors que le devis en prévoyait cinquante-huit de plus. Cette diminution a très probablement entraîné une réduction des prestations sous-traitées à la demanderesse, puisque, selon ses affirmations, celle-ci devait exécuter le raccordement des ventilo-convecteurs. Pour le surplus, le procès-verbal révèle bien, conformément à l'argumentation présentée, que toutes les prestations attendues par la défenderesse, incluant celles sous-traitées à la demanderesse, ont été entièrement exécutées.</w:t>
      </w:r>
    </w:p>
    <w:p>
      <w:r>
        <w:t>Les pièces invoquées ne permettent pas de reconnaître sans équivoque quelles sont les prestations que la demanderesse avait promises en contrepartie de 868'544 francs. Elles permettent moins encore de déterminer ce qui, sur le chantier, a été fourni respectivement par la demanderesse et par Z.________ Sàrl. Dans ces conditions, la Cour de justice retient sans arbitraire, et donc sans violation de l' art. 9 Cst. , que la demanderesse n'a pas apporté les preuves nécessaires au regard des art. 8 et 837 al. 1 ch. 3 CC . Le recours se révèle privé de fondement, ce qui conduit à son rejet.</w:t>
      </w:r>
    </w:p>
    <w:p>
      <w:r>
        <w:rPr>
          <w:b/>
        </w:rPr>
        <w:t>E. 4</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