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4A_546/2025 vom 8. Januar 2026</w:t>
      </w:r>
    </w:p>
    <w:p>
      <w:r>
        <w:t>Bundesgericht, 2026-01-08, DE</w:t>
      </w:r>
    </w:p>
    <w:p>
      <w:r>
        <w:rPr>
          <w:b/>
        </w:rPr>
        <w:t xml:space="preserve">Quelle: </w:t>
      </w:r>
      <w:r>
        <w:t>https://mcp.opencaselaw.ch/entscheid/bger_4A_546_2025</w:t>
      </w:r>
    </w:p>
    <w:p>
      <w:r>
        <w:t>FR: TF 4A_546/2025 du 8 janvier 2026</w:t>
      </w:r>
    </w:p>
    <w:p>
      <w:r>
        <w:t>IT: TF 4A_546/2025 del 8 gennaio 2026</w:t>
      </w:r>
    </w:p>
    <w:p>
      <w:pPr>
        <w:pStyle w:val="Heading2"/>
      </w:pPr>
      <w:r>
        <w:t>Erwägungen</w:t>
      </w:r>
    </w:p>
    <w:p>
      <w:r>
        <w:rPr>
          <w:b/>
        </w:rPr>
        <w:t>E. 1</w:t>
      </w:r>
    </w:p>
    <w:p>
      <w:r>
        <w:t>Mit Verfügung vom 2. September 2025 wies das Richteramt Solothurn-Lebern in einem vom Beschwerdeführer eingeleiteten Forderungsprozess dessen "Noveneingabe" vom 28. August 2025 inkl. Beilagen aus den Akten und verfügte die Aufbewahrung der Eingabe in einem verschlossenen Couvert zusammen mit den Akten. Mit Urteil vom 24. September 2025 trat das Obergericht des Kantons Solothurn auf eine vom Beschwerdeführer gegen die Verfügung vom 2. September 2025 erhobene Beschwerde nicht ein. Mit Eingabe vom 30. Oktober 2025 erklärte der Beschwerdeführer dem Bundesgericht, den Entscheid des Obergerichts des Kantons Solothurn vom 24. September 2025 mit Beschwerde anfechten zu wollen. Mit Verfügung vom 3. November 2025 wies das Bundesgericht das Gesuch des Beschwerdeführers um Gewährung der aufschiebenden Wirkung ab.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Beim angefochtenen Urteil des Obergerichts des Kantons Solothurn vom 30. Oktober 2025 handelt es sich um einen Zwischenentscheid. Der Beschwerdeführer vermag nicht aufzuzeigen, dass die Voraussetzungen nach Art. 93 Abs. 1 BGG für die Anfechtung eines Zwischenentscheids gegeben wären. Er wird diesen mit dem Endentscheid anfechten können, soweit er sich auf dessen Inhalt auswirkt. Die Eintretensvoraussetzungen sind somit offensichtlich nicht erfüllt. Auf die Beschwerde ist daher im vereinfachten Verfahren nach Art. 108 Abs. 1 lit. a BGG nicht einzutreten.</w:t>
      </w:r>
    </w:p>
    <w:p>
      <w:r>
        <w:rPr>
          <w:b/>
        </w:rPr>
        <w:t>E. 3</w:t>
      </w:r>
    </w:p>
    <w:p>
      <w:r>
        <w:t>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