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4A_546/2014 vom 2. Juni 2015</w:t>
      </w:r>
    </w:p>
    <w:p>
      <w:r>
        <w:t>Bundesgericht, 2015-06-02, DE</w:t>
      </w:r>
    </w:p>
    <w:p>
      <w:r>
        <w:rPr>
          <w:b/>
        </w:rPr>
        <w:t xml:space="preserve">Quelle: </w:t>
      </w:r>
      <w:r>
        <w:t>https://mcp.opencaselaw.ch/entscheid/bger_4A_546_2014</w:t>
      </w:r>
    </w:p>
    <w:p>
      <w:r>
        <w:t>FR: TF 4A_546/2014 du 2 juin 2015</w:t>
      </w:r>
    </w:p>
    <w:p>
      <w:r>
        <w:t>IT: TF 4A_546/2014 del 2 giugno 2015</w:t>
      </w:r>
    </w:p>
    <w:p>
      <w:pPr>
        <w:pStyle w:val="Heading2"/>
      </w:pPr>
      <w:r>
        <w:t>Erwägungen</w:t>
      </w:r>
    </w:p>
    <w:p>
      <w:r>
        <w:rPr>
          <w:b/>
        </w:rPr>
        <w:t>E. 1</w:t>
      </w:r>
    </w:p>
    <w:p>
      <w:r>
        <w:t>Das Bundesgericht prüft von Amtes wegen und mit freier Kognition, ob ein Rechtsmittel zulässig ist ( Art. 29 Abs. 1 BGG ; BGE 139 III 133 E. 1 S. 133 mit Hinweisen).</w:t>
      </w:r>
    </w:p>
    <w:p>
      <w:r>
        <w:rPr>
          <w:b/>
        </w:rPr>
        <w:t>E. 1.1</w:t>
      </w:r>
    </w:p>
    <w:p>
      <w:r>
        <w:t>Angefochten ist ein Endentscheid einer letzten kantonalen Instanz (Art. 75 Abs. 1 und 2 lit. b sowie Art. 90 BGG ). Dagegen steht die Beschwerde in Zivilsachen offen. Da auch die übrigen Sachurteilsvoraussetzungen erfüllt sind, ist - unter Vorbehalt einer hinreichenden Begründung ( Art. 42 Abs. 2 und Art. 106 Abs. 2 BGG ) - auf die Beschwerde einzutreten.</w:t>
      </w:r>
    </w:p>
    <w:p>
      <w:r>
        <w:rPr>
          <w:b/>
        </w:rPr>
        <w:t>E. 1.2</w:t>
      </w:r>
    </w:p>
    <w:p>
      <w:r>
        <w:t>Mit der Beschwerde in Zivilsachen kann die Verletzung von Bundesrecht (einschliesslich Bundesverfassungsrecht) gerügt werden ( Art. 95 lit. a BGG ; BGE 134 III 379 E. 1.2). Nicht zu den in Art. 95 BGG vorgesehenen Rügegründen gehört hingegen die Verletzung kantonaler Verfahrensvorschriften, deren Anwendung und Auslegung vom Bundesgericht einzig unter dem Blickwinkel eines Verstosses gegen Bundesrecht bzw. gegen Bundesverfassungsrecht beurteilt werden kann ( BGE 136 I 241 E. 2.4; 135 III 513 E. 4.3 S. 521; 134 III 379 E. 1.2 S. 382 f.). Auf das Verfahren vor der Vorinstanz fand noch die nunmehr aufgehobene Zivilprozessordnung des Kantons Zürich vom 13. Juni 1976 (aZPO/ZH) Anwendung (vgl. Art. 404 Abs. 1 der Schweizerischen Zivilprozessordnung [ZPO; SR 272]), was die Parteien zu Recht nicht in Frage stellen (Urteile 4A_327/2013 vom 13. November 2013 E. 1.2; 4A_258/2012 vom 8. April 2013 E. 2.1; 4A_641/2011 vom 27. Januar 2012 E. 2.2). Soweit die Verletzung von Normen des kantonalen Zivilprozessrechts gerügt wird, ist darzutun, dass dabei gleichzeitig ein Verstoss gegen Bundes- bzw. Bundesverfassungsrecht vorliegt.</w:t>
      </w:r>
    </w:p>
    <w:p>
      <w:r>
        <w:t>Nach einem Rückweisungsentscheid des Bundesgerichts sind sowohl dieses selbst als auch die kantonalen Instanzen an die rechtliche Beurteilung, mit der die Rückweisung begründet wurde, gebunden. Wegen dieser Bindung der Gerichte ist es ihnen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waren ( BGE 135 III 334 E. 2 S. 335 f. mit Hinweisen).</w:t>
      </w:r>
    </w:p>
    <w:p>
      <w:r>
        <w:rPr>
          <w:b/>
        </w:rPr>
        <w:t>E. 1.3</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des Beschwerdeführers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Der Beschwerdeführer soll in der Beschwerdeschrift nicht bloss die Rechtsstandpunkte, die er im kantonalen Verfahren eingenommen hat, erneut bekräftigen, sondern mit seiner Kritik an den als rechtsfehlerhaft erachteten Erwägungen der Vorinstanz ansetzen ( BGE 140 III 86 E. 2 S. 89, 115 E. 2 S. 116). Die Begründung hat ferner in der Beschwerdeschrift selbst zu erfolgen und der blosse Verweis auf Ausführungen in anderen Rechtsschriften oder auf die Akten reicht nicht aus. Für die Beschwerdeantwort gelten dieselben Begründungsanforderungen ( BGE 140 III 115 E. 2 S. 116).</w:t>
      </w:r>
    </w:p>
    <w:p>
      <w:r>
        <w:rPr>
          <w:b/>
        </w:rPr>
        <w:t>E. 1.4</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namentlich die Anträge der Parteien, ihre Tatsachenbehauptungen, rechtlichen Erörterungen, Prozesserklärungen und Beweisvorbringen, der Inhalt einer Zeugenaussage, einer Expertise oder die Feststellungen anlässlich eines Augenscheins ( BGE 140 III 16 E. 1.3.1 mit Hinweisen).</w:t>
      </w:r>
    </w:p>
    <w:p>
      <w:r>
        <w:t>Das Bundesgericht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 Art. 97 Abs. 1 BGG ).</w:t>
      </w:r>
    </w:p>
    <w:p>
      <w:r>
        <w:t>Die Partei, welche die Sachverhaltsfeststellung der Vorinstanz anfechten will, muss klar und substantiiert aufzeigen, inwiefern diese Voraussetzungen erfüllt sein sollen ( BGE 140 III 16 E. 1.3.1 S. 18). Soweit sie den Sachverhalt ergänzen will, hat sie zudem mit Aktenhinweisen darzulegen, dass sie entsprechende rechtsrelevante Tatsachen und taugliche Beweismittel bereits bei den Vorinstanzen prozesskonform eingebracht hat ( BGE 140 III 86 E. 2 S. 90). Neue Tatsachen und Beweismittel dürfen nur soweit vorgebracht werden, als erst der Entscheid der Vorinstanz dazu Anlass gibt ( Art. 99 Abs. 1 BGG ), was in der Beschwerde näher darzulegen ist ( BGE 133 III 393 E. 3 S. 395). Auf eine Kritik an den tatsächlichen Feststellungen der Vorinstanz, die diesen Anforderungen nicht genügt, ist nicht einzutreten ( BGE 140 III 16 E. 1.3.1 S. 18; 133 II 249 E. 1.4.3).</w:t>
      </w:r>
    </w:p>
    <w:p>
      <w:r>
        <w:rPr>
          <w:b/>
        </w:rPr>
        <w:t>E. 1.5</w:t>
      </w:r>
    </w:p>
    <w:p>
      <w:r>
        <w:t>Die Beschwerdeführerin verkennt die aufgeführten Grundsätze in verschiedener Hinsicht:</w:t>
      </w:r>
    </w:p>
    <w:p>
      <w:r>
        <w:rPr>
          <w:b/>
        </w:rPr>
        <w:t>E. 1.5.1</w:t>
      </w:r>
    </w:p>
    <w:p>
      <w:r>
        <w:t>Sie verkennt zunächst die Bindung an den bundesgerichtlichen Rückweisungsentscheid, wenn sie in ihrer Beschwerde einmal mehr die weisungsgemässe Verzollung durch die Beschwerdegegnerin in Abrede stellt und sich auf deren angebliche Abfragemöglichkeit hinsichtlich der verfügbaren Zollkontingente im Online-System beruft. Bereits im ersten Entscheid der Vorinstanz vom 13. Januar 2011 wurde entschieden, dass der Beschwerdegegnerin - die nach den entsprechenden Sachverhaltsfeststellungen gar nicht in der Lage war, die bestehenden Zollkontingentanteile der Beschwerdeführerin im Online-System zu prüfen - im Vorfeld der Verzollungsanmeldung keine unsorgfältige Vertragsausführung vorzuwerfen sei (E. 1.2.3.3) und dass sie die Verzollung weisungsgemäss vorgenommen habe (E. 1.2.3.4). Die dagegen erhobenen Rügen der Beschwerdeführerin blieben erfolglos (Urteil 4A_128/2011 vom 1. Juli 2011). Auch wenn die Vorinstanz die entsprechenden Erwägungen im angefochtenen Entscheid vom 10. Juli 2014 wiederum aufführt (E. 4.2.6 und 4.2.7), ist es der Beschwerdeführerin verwehrt, diese einmal mehr in Frage zu stellen.</w:t>
      </w:r>
    </w:p>
    <w:p>
      <w:r>
        <w:rPr>
          <w:b/>
        </w:rPr>
        <w:t>E. 1.5.2</w:t>
      </w:r>
    </w:p>
    <w:p>
      <w:r>
        <w:t>Die Beschwerdeführerin stellt in einer Sachverhaltsübersicht, die sie ihren weiteren Vorbringen voranstellt, die Hintergründe der Streitsache und des Verfahrens aus eigener Sicht dar. Darin weicht sie - wie auch in ihrer weiteren Beschwerdebegründung - von den Sachverhaltsfeststellungen im angefochtenen Entscheid ab oder erweitert diese, ohne substantiiert Ausnahmen von der Sachverhaltsbindung geltend zu machen. So macht sie unter Hinweis auf verschiedenste Rechtsschriften des kantonalen Verfahrens geltend, bestimmte ihrer Ausführungen seien unbestritten geblieben bzw. von der Beschwerdegegnerin anerkannt worden und führt verschiedentlich aus, einige ihrer Behauptungen nach erfolgter Rückweisung seien als Noven zulässig gewesen, zeigt jedoch in keiner Weise auf, inwiefern der Vorinstanz eine verfassungswidrige Anwendung des kantonalen Verfahrensrechts vorzuwerfen wäre. Sie macht unter anderem zwar geltend, die Vorinstanz habe die Verhandlungsmaxime nach § 54 aZPO/ZH verletzt, zeigt jedoch keine verfassungswidrige Anwendung dieser Verfahrensbestimmung auf.</w:t>
      </w:r>
    </w:p>
    <w:p>
      <w:r>
        <w:rPr>
          <w:b/>
        </w:rPr>
        <w:t>E. 1.5.3</w:t>
      </w:r>
    </w:p>
    <w:p>
      <w:r>
        <w:t>Die Beschwerdeführerin unterbreitet dem Bundesgericht unter Hinweis auf zahlreiche Akten des kantonalen Verfahrens weitgehend losgelöst vom angefochtenen Urteil und dessen Sachverhaltsfeststellungen ihren Standpunkt, wonach die Klage abzuweisen sei, als ob das Bundesgericht die Streitsache von Grund auf neu beurteilen könnte. Damit verfehlt sie die erwähnten Begründungsanforderungen an eine hinreichende Beschwerde. Zudem verkennt sie die Bindung an den bundesgerichtlichen Rückweisungsentscheid.</w:t>
      </w:r>
    </w:p>
    <w:p>
      <w:r>
        <w:t>Soweit sich die Beschwerdeführerin über den Rückweisungsentscheid hinwegsetzt oder ihre Vorbringen auf einen Sachverhalt stützt, der von den verbindlichen Feststellungen der Vorinstanz abweicht, ist sie nicht zu hören.</w:t>
      </w:r>
    </w:p>
    <w:p>
      <w:r>
        <w:rPr>
          <w:b/>
        </w:rPr>
        <w:t>E. 2</w:t>
      </w:r>
    </w:p>
    <w:p>
      <w:r>
        <w:t>Die Beschwerdeführerin wirft der Vorinstanz eine Verletzung des rechtlichen Gehörs ( Art. 29 Abs. 2 BV und Art. 6 Ziff. 1 EMRK ) vor.</w:t>
      </w:r>
    </w:p>
    <w:p>
      <w:r>
        <w:rPr>
          <w:b/>
        </w:rPr>
        <w:t>E. 2.1</w:t>
      </w:r>
    </w:p>
    <w:p>
      <w:r>
        <w:t>Die Beschwerdeführerin bringt vor, die Vorinstanz gehe in keiner Weise auf ihr Vorbringen ein, wonach hinsichtlich der Einfuhr zum Kontingentzollansatz kein Grundsatz "alles oder nichts" gelte; der Importeur sei grundsätzlich nicht gehalten, für die ganze mitgeführte Ware Zollkontingente vorzuweisen, vielmehr sei die Verzollung zum Kontingentzollansatz für den Teil der Ware zu bewilligen, für den Kontingente rechtzeitig vorliegen. Die Vorinstanz gehe auf die Frage, ob die gesamte mitgeführte Ware ausschliesslich nach dem Kontingentzollansatz oder nach dem Ausserkontingentzollansatz verzollt sein muss, überhaupt nicht ein, worin eine Verletzung des rechtlichen Gehörs zu erblicken sei.</w:t>
      </w:r>
    </w:p>
    <w:p>
      <w:r>
        <w:rPr>
          <w:b/>
        </w:rPr>
        <w:t>E. 2.2.1</w:t>
      </w:r>
    </w:p>
    <w:p>
      <w:r>
        <w:t>Der Anspruch auf rechtliches Gehör ( Art. 29 Abs. 2 BV ) verlangt, dass das Gericht die Vorbringen des vom Entscheid in seiner Rechtsstellung Betroffenen auch tatsächlich hört, prüft und in der Entscheidfindung berücksichtigt ( BGE 134 I 83 E. 4.1 S. 88 mit Hinweisen). Damit sich die Parteien ein Bild über die Erwägungen des Gerichts machen können, ist sein Entscheid zu begründen. Die Begründung muss kurz die Überlegungen nennen, von denen sich das Gericht hat leiten lassen und auf die sich sein Entscheid stützt. Nicht erforderlich ist hingegen, dass sich der Entscheid mit allen Parteistandpunkten einlässlich auseinandersetzt und jedes einzelne Vorbringen ausdrücklich widerlegt. Es genügt, wenn der Entscheid gegebenenfalls sachgerecht angefochten werden kann ( BGE 136 I 184 E. 2.2.1 S. 188; 133 III 439 E. 3.3 S. 445; je mit Hinweisen).</w:t>
      </w:r>
    </w:p>
    <w:p>
      <w:r>
        <w:t>Eine formelle Rechtsverweigerung in Sinne der Gehörsverweigerung liegt vor, wenn eine Partei ihren Standpunkt nicht in das Verfahren einbringen konnte und das Gericht die entsprechenden Vorbringen bei der Entscheidfindung nicht beachtete, so dass die Partei im Verfahren benachteiligt wurde ( BGE 127 III 576 E. 2e mit Hinweisen).</w:t>
      </w:r>
    </w:p>
    <w:p>
      <w:r>
        <w:rPr>
          <w:b/>
        </w:rPr>
        <w:t>E. 2.2.2</w:t>
      </w:r>
    </w:p>
    <w:p>
      <w:r>
        <w:t>Die Vorinstanz führte unter Hinweis auf Art. 89 lit. a der Zollverordnung vom 1. November 2006 (ZV; SR 631.01) aus, eine nachträgliche Umbuchung, also eine nachträgliche Anwendung des Kontingentzollansatzes nach Art. 34 Abs. 4 lit. b des Zollgesetzes vom 18. März 2005 (ZG; SR 631.0), könne nur dann erfolgen, wenn im Zeitpunkt der ursprünglichen Zollanmeldung die materiellen und formellen Voraussetzungen für die Gewährung einer Zollermässigung erfüllt waren. Mit anderen Worten, so die Vorinstanz, mussten im massgebenden Zeitpunkt der Einfuhr die benötigten Zollkontingente vorliegen, damit ein Beschwerdeverfahren hätte erfolgreich sein können. Erst wenn feststehe, dass im relevanten Zeitpunkt ausreichend Zollkontingente vorhanden waren, sei demnach zu prüfen, ob das Beschwerdeverfahren aufgrund einer allfälligen Nachlässigkeit der Beschwerdegegnerin - wie von der Beschwerdeführerin behauptet - erfolglos gewesen sei.</w:t>
      </w:r>
    </w:p>
    <w:p>
      <w:r>
        <w:t>Die Vorinstanz berücksichtigte unter anderem die Aussage des sachverständigen Zeugen E.________, wonach am 15. Mai 2008 (recte: 2007) nach erfolgter Verzollung eines Teils der Warenpartie (d.h. 5'707.4 kg von insgesamt 17'937 kg) zum Kontingentzollansatz bei den verfügbaren Kontingenten ein Restsaldo von 11'469.6 kg bestanden habe; zudem sei offenbar eine Verzollung des verbleibenden Anteils von 12'229.6 kg versucht worden, womit ein Kontingentanteil von 760 kg gefehlt habe. Das verfügbare Kontingent der Beschwerdeführerin sei demnach um 760 kg zu klein gewesen. Auch der Zeuge F.________ habe zu Protokoll gegeben, dass im Zeitpunkt der Einfuhr 760 kg im Kontingent gefehlt hätten; zudem sei vom Zeugen G.________ bestätigt worden, dass zu wenig Kontingente vorhanden gewesen seien. Die Vorinstanz fasste die Zeugenaussagen dahingehend zusammen, dass im massgebenden Zeitpunkt der Einfuhr Kontingentanteile für 760 kg gefehlt hätten, "so dass</w:t>
      </w:r>
    </w:p>
    <w:p>
      <w:r>
        <w:t>diese zum Ausserkontingentzollansatz hätten verzollt werden müssen [Hervorhebung hinzugefügt]". Somit stehe fest, dass die Beschwerdeführerin im Zeitpunkt der Einfuhr nicht über die benötigten Kontingentanteile verfügt habe, "um</w:t>
      </w:r>
    </w:p>
    <w:p>
      <w:r>
        <w:t>die ganze Menge zum tieferen Kontingentzollansatz zu verzollen [Hervorhebung hinzugefügt]".</w:t>
      </w:r>
    </w:p>
    <w:p>
      <w:r>
        <w:rPr>
          <w:b/>
        </w:rPr>
        <w:t>E. 2.2.3</w:t>
      </w:r>
    </w:p>
    <w:p>
      <w:r>
        <w:t>Die Beschwerdeführerin bringt zu Recht vor, dass aus der Begründung im angefochtenen Entscheid nicht klar wird, ob die Vorinstanz den Einwand der Beschwerdeführerin überhaupt prüfte, dass eine nachträgliche Umbuchung (der zum höheren Ansatz veranlagten 12'229.6 kg) zum Kontingentzollansatz wenigstens teilweise, also hinsichtlich der im massgebenden Zeitpunkt tatsächlich verfügbaren Kontingente (d.h. 11'469.6 kg), möglich gewesen wäre. Eine Auseinandersetzung mit der Aussicht auf eine zumindest teilweise Umbuchung hätte sich aufgedrängt, nachdem auch der von der Vorinstanz einvernommene sachverständige Zeuge E.________ ausgesagt hatte, für ihn sei angesichts des fehlenden Kontingentanteils von 760 kg klar gewesen, dass "</w:t>
      </w:r>
    </w:p>
    <w:p>
      <w:r>
        <w:t>die 760 kg zum Ausserkontingentzollansatz hätten verzollt werden müssen [Hervorhebung hinzugefügt]" und die übrigen Zeugen ebenfalls bestätigten, dass</w:t>
      </w:r>
    </w:p>
    <w:p>
      <w:r>
        <w:t>die fehlenden 760 kg zum Ausserkontingentzollansatz hätten verzollt werden müssen. Darüber, ob und inwiefern unter den gegebenen Umständen eine nachträgliche Verzollung zum niedrigeren Kontingentzollansatz auch hinsichtlich der im Zeitpunkt der Einfuhr von den vorhandenen Kontingenten gedeckten Menge (also 11'469.6 kg von 12'229.6 kg) von vornherein aussichtslos gewesen wäre, schweigt sich das angefochtene Urteil aus. Eine Begründung wäre aber erforderlich gewesen. Indem die Vorinstanz dieses wesentliche Vorbringen bei der Entscheidfindung unbeachtet liess, wurde die Beschwerdeführerin in Verletzung ihres Gehörsanspruchs im Verfahren benachteiligt.</w:t>
      </w:r>
    </w:p>
    <w:p>
      <w:r>
        <w:rPr>
          <w:b/>
        </w:rPr>
        <w:t>E. 2.2.4</w:t>
      </w:r>
    </w:p>
    <w:p>
      <w:r>
        <w:t>Der angefochtene Entscheid ist demnach in teilweiser Gutheissung der Beschwerde aufzuheben und die Sache zu neuer Beurteilung an die Vorinstanz zurückzuweisen. Die Vorinstanz wird bei ihrem Entscheid auch zu beurteilen haben, inwiefern bei der Verteilung der Prozesskosten das Unterliegen der Beschwerdegegnerin im Beschluss vom 26. März 2013 (act. 113) zu berücksichtigen ist, der in Dispositiv-Ziffer 2 vorsieht, dass über die entsprechenden Kosten- und Entschädigungsfolgen im Endentscheid befunden wird, nach den Vorbringen in der Beschwerdeschrift jedoch unbeachtet geblieben sei.</w:t>
      </w:r>
    </w:p>
    <w:p>
      <w:r>
        <w:rPr>
          <w:b/>
        </w:rPr>
        <w:t>E. 3</w:t>
      </w:r>
    </w:p>
    <w:p>
      <w:r>
        <w:t>In teilweiser Gutheissung der Beschwerde ist das angefochtene Urteil des Handelsgerichts des Kantons Zürich vom 10. Juli 2014 aufzuheben und die Sache ist zu neuer Beurteilung an die Vorinstanz zurückzuweisen.</w:t>
      </w:r>
    </w:p>
    <w:p>
      <w:r>
        <w:t>Die Beschwerdeführerin dringt mit ihren Begehren nur teilweise durch. Da zudem noch ungewiss ist, ob und gegebenenfalls in welchem Umfang sie in der Sache obsiegen wird, erscheint es gerechtfertigt, die Kosten für das bundesgerichtliche Verfahren den Parteien je zur Hälfte aufzuerlegen und auf eine Zusprechung von Parteientschädigungen zu verzichten (Art. 66 Abs. 1 sowie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