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4A_545/2022 vom 24. März 2023</w:t>
      </w:r>
    </w:p>
    <w:p>
      <w:r>
        <w:t>Bundesgericht, 2023-03-24, DE</w:t>
      </w:r>
    </w:p>
    <w:p>
      <w:r>
        <w:rPr>
          <w:b/>
        </w:rPr>
        <w:t xml:space="preserve">Quelle: </w:t>
      </w:r>
      <w:r>
        <w:t>https://mcp.opencaselaw.ch/entscheid/bger_4A_545_2022</w:t>
      </w:r>
    </w:p>
    <w:p>
      <w:r>
        <w:t>FR: TF 4A_545/2022 du 24 mars 2023</w:t>
      </w:r>
    </w:p>
    <w:p>
      <w:r>
        <w:t>IT: TF 4A_545/2022 del 24 marzo 2023</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sie richtet sich gegen einen Entscheid einer letzten kantonalen Instanz ( Art. 75 Abs. 1 BGG ), die Beschwerdeführerin ist mit ihren Anträgen nicht durchgedrungen ( Art. 76 Abs. 1 BGG ) und die Beschwerdefrist ist eingehalten ( Art. 100 Abs. 1 BGG ).</w:t>
      </w:r>
    </w:p>
    <w:p>
      <w:r>
        <w:t>Der Streitwert erreicht die Streitwertgrenze von Fr. 30'000.-- für eine Beschwerde in Zivilsachen gemäss Art. 74 Abs. 1 lit. b BGG nicht. Diese ist daher nur zulässig, wenn sich eine Rechtsfrage von grundsätzlicher Bedeutung stellt ( Art. 74 Abs. 2 lit. a BGG ). Die Beschwerdeführerin macht geltend, dies sei der Fall.</w:t>
      </w:r>
    </w:p>
    <w:p>
      <w:r>
        <w:rPr>
          <w:b/>
        </w:rPr>
        <w:t>E. 1.2</w:t>
      </w:r>
    </w:p>
    <w:p>
      <w:r>
        <w:t>Eine Rechtsfrage von grundsätzlicher Bedeutung ist nur zurückhaltend anzunehmen. Eine solche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141 III 159 E. 1.2; 139 III 209 E. 1.2; je mit weiteren Hinweisen). Soweit es bei der aufgeworfenen Frage lediglich um die Anwendung von Grundsätzen der Rechtsprechung auf einen konkreten Fall geht, handelt es sich nicht um eine Rechtsfrage von grundsätzlicher Bedeutung ( BGE 140 III 501 E. 1.3; 135 III 1 E. 1.3 mit weiteren Hinweisen). Der blosse Umstand, dass die aufgeworfene Rechtsfrage noch nie entschieden wurde, genügt nicht. Es muss sich um eine Rechtsfrage handeln, deren Entscheid für die Praxis wegleitend sein kann und die von ihrem Gewicht her nach einer höchstrichterlichen Klärung ruft ( BGE 143 II 425 E. 1.3.2; 141 II 14 E. 1.2.2.1 ; 138 I 143 E. 1.1.2).</w:t>
      </w:r>
    </w:p>
    <w:p>
      <w:r>
        <w:t>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oder wenn in der Zwischenzeit neue Gesetzesbestimmungen in Kraft getreten sind ( BGE 139 II 340 E. 4; 135 III 1 E. 1.3). Einer Rechtsfrage, zu der bereits eine bundesgerichtliche Rechtsprechung besteht, kommt nicht allein deswegen grundsätzliche Bedeutung zu, weil sie vom Bundesgericht im konkret zu beurteilenden Kontext allenfalls noch nie entschieden wurde. Nur wenn begründete Zweifel daran bestehen können, ob die bundesgerichtliche Rechtsprechung auch unter den besonderen Umständen des konkreten Falles Anwendung findet, und sich dieselbe Frage analog bei weiteren Fällen stellen könnte, geht es nicht mehr allein um die Anwendung von Grundsätzen der Rechtsprechung auf einen konkreten Fall und kann der Frage grundsätzliche Bedeutung zukommen (Urteile 4A_122/2021 vom 14. September 2021 E. 1.4; 4A_400/2020 vom 9. Dezember 2020 E. 2.3).</w:t>
      </w:r>
    </w:p>
    <w:p>
      <w:r>
        <w:t>Im Weiteren muss die Beantwortung der vorgelegten Rechtsfrage im betreffenden Verfahren unerlässlich sein: Eine Frage, die zwar an sich von grundsätzlicher Bedeutung wäre, hingegen den Ausgang des Verfahrens nicht zu beeinflussen vermag, kann die Zulässigkeit der ordentlichen Beschwerde nicht begründen (Urteile 4A_471/2021 vom 26. Januar 2022 E. 1.2; 4A_397/2021 vom 18. November 2021 E. 2.2; 4A_653/2017 vom 30. April 2018 E. 3).</w:t>
      </w:r>
    </w:p>
    <w:p>
      <w:r>
        <w:t>Ist eine Beschwerde nur unter der Voraussetzung zulässig, dass sich eine Rechtsfrage von grundsätzlicher Bedeutung stellt, so ist in der Beschwerde auszuführen, warum diese Voraussetzung erfüllt ist ( Art. 42 Abs. 2 Satz 2 BGG ).</w:t>
      </w:r>
    </w:p>
    <w:p>
      <w:r>
        <w:rPr>
          <w:b/>
        </w:rPr>
        <w:t>E. 1.3.1</w:t>
      </w:r>
    </w:p>
    <w:p>
      <w:r>
        <w:t>Die Beschwerdeführerin bringt vor, das Bundesgericht habe in BGE 142 III 16 E. 3.1 festgestellt, dass das Gericht das Einberufungs- und Traktandierungsgesuch des Gesellschafters im Sinne von Art. 699 Abs. 3 und 4 OR lediglich einer formellen Prüfung zu unterziehen habe. Es habe abzuklären, ob der oder die Gesuchsteller Aktionäre sind, die formellen Voraussetzungen von Art. 699 Abs. 3 Satz 1 OR erfüllt sind und ob tatsächlich ein Einberufungsbegehren an den Verwaltungsrat gestellt wurde, dem innert angemessener Frist nicht entsprochen wurde. Dieser Entscheid sei gestützt auf "altes" Recht erfolgt, d.h. vor Inkrafttreten der Bestimmungen über die Meldepflicht des Aktionärs resp. eines Gesellschafters im Sinne von Art. 697j ff. resp. von Art. 790a OR . Diese Bestimmungen liessen die Voraussetzungen für die Beurteilung der formellen Voraussetzungen für die Einberufung einer General- bzw. Gesellschafterversammlung in neuem Licht erscheinen, weil der Gesetzgeber bei Verletzung der Meldepflichten durch den Gesellschafter eine Beschränkung der Mitwirkungsrechte des Gesellschafters eingeführt habe. Nach den seit 1. Juli 2015 geltenden Bestimmungen seien die Aktionäre nach Art. 697j Abs. 1 OR insbesondere verpflichtet, der Gesellschaft innert Monatsfrist den Vor- und den Nachnamen und die Adresse der natürlichen Person zu melden, für die sie letztendlich handeln (wirtschaftlich berechtigte Person), wenn sie allein oder in gemeinsamer Absprache mit Dritten Aktien einer Gesellschaft erwerben und der Grenzwert von 25 % des Aktienkapitals oder der Stimmen überschritten wird. Solange der Aktionär diesen Meldepflichten nicht nachgekommen sei, ruhten gemäss Art. 697m Abs. 1 OR seine Mitgliedschaftsrechte. Analoges gelte gestützt auf Art. 790a OR für die Gesellschafter einer Gesellschaft mit beschränkter Haftung.</w:t>
      </w:r>
    </w:p>
    <w:p>
      <w:r>
        <w:t>Die Beschränkung der Mitwirkungsrechte wirke sich demnach unmittelbar auf das Recht des Gesellschafters aus, gestützt auf Art. 699 Abs. 3 OR die Einberufung einer Generalversammlung resp. gestützt auf Art. 805 Abs. 5 Ziff. 2 OR die Einberufung einer Gesellschafterversammlung zu verlangen. Entfalle die richterliche Pflicht zur Überprüfung der Mitwirkungsrechte im rein formellen und weitgehend aktenbasierten Verfahren betreffend Einberufung der Gesellschafterversammlung, werde die Gesellschaft regelmässig auch nicht in der Lage sein, die Legitimation eines Gesellschafters zur Stellung des Gesuchs mit Urkundenbeweis zu widerlegen; erst anlässlich der Versammlung habe die Gesellschaft die Möglichkeit, dem Gesuchsteller die Mitwirkung zu verweigern, indem sie ihm in der Versammlung das Stimmrecht aberkenne. Die Frage, ob das Gericht schon im weitgehend aktenbasierten Verfahren betreffend Einberufung der Gesellschafterversammlung von Amtes wegen zu prüfen habe, ob der Gesellschafter zur Stellung des Gesuchs um Einberufung legitimiert sei oder die Mitwirkungsrechte ruhten, sei von grundsätzlicher Bedeutung. Entfalle diese Pflicht, werde es dem im Handelsregister oder Aktienbuch eingetragenen Gesellschafter - wie im vorliegenden Fall - contra legem regelmässig möglich sein, trotz Ruhens seiner Legitimation die Einberufung einer General- oder Gesellschafterversammlung durchzusetzen. Gesellschaften würden also regelmässig dazu verpflichtet werden können, solche Versammlungen einzuberufen und durchzuführen, obwohl der entsprechende Antrag infolge ruhender Mitwirkungsrechte nicht zulässig sei.</w:t>
      </w:r>
    </w:p>
    <w:p>
      <w:r>
        <w:rPr>
          <w:b/>
        </w:rPr>
        <w:t>E. 1.3.2</w:t>
      </w:r>
    </w:p>
    <w:p>
      <w:r>
        <w:t>Die Beschwerdeführerin verkennt mit ihren Vorbringen, dass die Vorinstanz die in der Beschwerde aufgeworfene Frage gar nicht prüfte, sondern aus formellen Gründen auf die Berufung nicht eintrat. Es ist demnach nicht ersichtlich, inwiefern die Beantwortung der vorgelegten Rechtsfrage den Ausgang des vorliegenden Verfahrens zu beeinflussen vermöchte, das einzig die korrekte Anwendung der Begründungsanforderungen im Berufungsverfahren betrifft.</w:t>
      </w:r>
    </w:p>
    <w:p>
      <w:r>
        <w:t>Abgesehen davon ist nicht erkennbar, inwiefern die in der Beschwerde formulierte Frage, ob das Gericht im Verfahren betreffend Einberufung der Gesellschafterversammlung von Amtes wegen zu prüfen habe, ob der Gesellschafter zur Stellung des Gesuchs um Einberufung legitimiert sei oder die Mitwirkungsrechte ruhten, umstritten sein soll. Soweit damit eine Anwendung des Untersuchungsgrundsatzes gemeint ist, erscheint klar, dass kein Anwendungsfall von Art. 255 ZPO in Verbindung mit Art. 55 Abs. 2 ZPO vorliegt, sondern im (summarischen) Verfahren betreffend die Einberufung einer Gesellschafterversammlung ( Art. 250 lit. c Ziff. 9 ZPO ) der Verhandlungsgrundsatz ( Art. 55 Abs. 1 ZPO ) gilt. Ebenso wenig ist umstritten, dass das Gericht die gesetzlichen Voraussetzungen einer solchen Einberufung durch einen Gesellschafter (Art. 805 Abs. 5 Ziff. 2 i.V.m. Art. 699 Abs. 4 OR ) in rechtlicher Hinsicht nach Art. 57 ZPO von Amtes wegen zu prüfen hat (</w:t>
      </w:r>
    </w:p>
    <w:p>
      <w:r>
        <w:t>iura novit curia ). Eine umstrittene Rechtsfrage liegt insoweit nicht vor.</w:t>
      </w:r>
    </w:p>
    <w:p>
      <w:r>
        <w:rPr>
          <w:b/>
        </w:rPr>
        <w:t>E. 1.4</w:t>
      </w:r>
    </w:p>
    <w:p>
      <w:r>
        <w:t>Die Voraussetzung nach Art. 74 Abs. 2 lit. a BGG ist nicht erfüllt, weshalb die Beschwerde in Zivilsachen nicht offensteht. Die Eingabe der Beschwerdeführerin ist daher als subsidiäre Verfassungsbeschwerde zu behandeln ( Art. 113 BGG ). Soweit sie eine Verletzung von einfachem Gesetzesrecht rügt, ist sie nicht zu hören.</w:t>
      </w:r>
    </w:p>
    <w:p>
      <w:r>
        <w:rPr>
          <w:b/>
        </w:rPr>
        <w:t>E. 2.1</w:t>
      </w:r>
    </w:p>
    <w:p>
      <w:r>
        <w:t>Mit der subsidiären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t>Macht die beschwerdeführende Partei eine Verletzung des Willkürverbots geltend, genügt es nicht, wenn sie einfach behauptet, der angefochtene Entscheid sei willkürlich ( BGE 134 II 349 E. 3 ; 133 I 1 E. 5.5).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2.3</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in ihrer Replik darüber hinausgeht, können ihre Ausführungen nicht berücksichtigt werden.</w:t>
      </w:r>
    </w:p>
    <w:p>
      <w:r>
        <w:rPr>
          <w:b/>
        </w:rPr>
        <w:t>E. 2.4</w:t>
      </w:r>
    </w:p>
    <w:p>
      <w:r>
        <w:t>Die Beschwerdeführerin verkennt diese Anforderungen über weite Strecken. Sie stellt ihren rechtlichen Ausführungen eine ausführliche Sachverhaltsdarstellung voran, in der sie den Ablauf des Verfahrens und die Vorbringen der Parteien aus eigener Sicht schildert. Soweit sie darin von den tatsächlichen Feststellungen im angefochtenen Entscheid abweicht oder diese erweitert, haben ihre Ausführungen unbeachtet zu bleiben.</w:t>
      </w:r>
    </w:p>
    <w:p>
      <w:r>
        <w:t>Zudem verfehlt die Beschwerdeführerin verschiedentlich die gesetzlichen Begründungsanforderungen an eine hinreichende Verfassungsrüge. So führt sie in ihrer Beschwerdeergänzung etwa eine Verletzung des Willkürverbots ( Art. 9 BV ) sowie formelle Rechtsverweigerung ins Feld, zeigt dies jedoch nicht hinreichend auf, sondern stützt sich vielmehr in unzulässiger Weise auf die nach ihrer Ansicht zutreffende Anwendung von Art. 311 und Art. 317 ZPO sowie des materiellen Rechts.</w:t>
      </w:r>
    </w:p>
    <w:p>
      <w:r>
        <w:rPr>
          <w:b/>
        </w:rPr>
        <w:t>E. 2.5</w:t>
      </w:r>
    </w:p>
    <w:p>
      <w:r>
        <w:t>Die Beschwerdeführerin wirft der Vorinstanz eine aktenwidrige Feststellung des Sachverhalts vor.</w:t>
      </w:r>
    </w:p>
    <w:p>
      <w:r>
        <w:rPr>
          <w:b/>
        </w:rPr>
        <w:t>E. 2.5.1</w:t>
      </w:r>
    </w:p>
    <w:p>
      <w:r>
        <w:t>Aktenwidrigkeit liegt vor, wenn sich das Gericht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(vgl. BGE 131 I 45 E. 3.6 mit Hinweisen; Urteile 4A_265/2021 vom 27. Oktober 2021 E. 5.2; 4A_204/2021 vom 7. Juni 2021 E. 2.1.2).</w:t>
      </w:r>
    </w:p>
    <w:p>
      <w:r>
        <w:rPr>
          <w:b/>
        </w:rPr>
        <w:t>E. 2.5.2</w:t>
      </w:r>
    </w:p>
    <w:p>
      <w:r>
        <w:t>Die Beschwerdeführerin vermag mit ihren Vorbringen nicht aufzuzeigen, dass sich die Vorinstanz infolge Versehens mit den Akten in Widerspruch gesetzt hätte. Vielmehr kritisiert sie in unzulässiger Weise verschiedene Feststellungen im angefochtenen Entscheid. Insbesondere mit der vorinstanzlichen Hauptbegründung, nach der nicht erkennbar sei, dass die Beschwerdeführerin bereits erstinstanzlich konkrete Verstösse gegen die gesetzliche Meldepflicht ( Art. 790a OR ) substanziiert behauptet hätte, setzt sie sich nicht hinreichend auseinander. Sie beruft sich zwar auch vor Bundesgericht auf eine Verletzung der Meldepflicht nach Art. 790a Abs. 1 OR ; selbst wenn sie mit ihren Vorbringen zu hören wäre, ginge daraus jedoch nicht hervor, mit welchem konkreten Erwerbsgeschäft betreffend Stammanteile der Grenzwert von 25 % des Stammkapitals oder der Stimmrechte erreicht oder überschritten worden wäre. Ihre Ausführungen zielen daher von vornherein ins Leere.</w:t>
      </w:r>
    </w:p>
    <w:p>
      <w:r>
        <w:rPr>
          <w:b/>
        </w:rPr>
        <w:t>E. 2.5.3</w:t>
      </w:r>
    </w:p>
    <w:p>
      <w:r>
        <w:t>Damit erweist sich auch der in der Beschwerde erhobene Vorwurf der Verletzung des rechtlichen Gehörs ( Art. 29 Abs. 2 BV ) als ungerechtfertigt. Der Gehörsrüge der Beschwerdeführerin kommt keine eigenständige Bedeutung zu, sondern stützt sich einzig auf die Behauptung, die Vorinstanz habe "ihrem Entscheid einen auf aktenwidrigen Tatsachen basierenden, inhaltlich falschen Sachverhalt zugrunde [gelegt]", was sich als unbegründet erwiesen hat.</w:t>
      </w:r>
    </w:p>
    <w:p>
      <w:r>
        <w:rPr>
          <w:b/>
        </w:rPr>
        <w:t>E. 3</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