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4A_544/2020 vom 11. November 2020</w:t>
      </w:r>
    </w:p>
    <w:p>
      <w:r>
        <w:t>Bundesgericht, 2020-11-11, DE</w:t>
      </w:r>
    </w:p>
    <w:p>
      <w:r>
        <w:rPr>
          <w:b/>
        </w:rPr>
        <w:t xml:space="preserve">Quelle: </w:t>
      </w:r>
      <w:r>
        <w:t>https://mcp.opencaselaw.ch/entscheid/bger_4A_544_2020</w:t>
      </w:r>
    </w:p>
    <w:p>
      <w:r>
        <w:t>FR: TF 4A_544/2020 du 11 novembre 2020</w:t>
      </w:r>
    </w:p>
    <w:p>
      <w:r>
        <w:t>IT: TF 4A_544/2020 del 11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4A_544/2020</w:t>
      </w:r>
    </w:p>
    <w:p>
      <w:r>
        <w:t>Verfügung vom 11. November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Rechtsanwalt Bruno Meier,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vertreten durch Rechtsanwalt Andreas Derungs,</w:t>
      </w:r>
    </w:p>
    <w:p>
      <w:r>
        <w:t>Beschwerdegegnerin.</w:t>
      </w:r>
    </w:p>
    <w:p>
      <w:r>
        <w:t>Gegenstand</w:t>
      </w:r>
    </w:p>
    <w:p>
      <w:r>
        <w:t>Darlehen; Rückzug der Beschwerde,</w:t>
      </w:r>
    </w:p>
    <w:p>
      <w:r>
        <w:t>Beschwerde gegen das Urteil des Obergerichts des Kantons Zug, I. Zivilabteilung, vom 16. September 2020 (Z1 2019 8).</w:t>
      </w:r>
    </w:p>
    <w:p>
      <w:r>
        <w:t>In Erwägung,</w:t>
      </w:r>
    </w:p>
    <w:p>
      <w:r>
        <w:t>dass der Beschwerdeführer mit Schreiben vom 9. November 2020 seine Beschwerde vom 21. Oktober 2020 gegen das Urteil des Obergerichts des Kantons Zug vom 16. September 2020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1-3 BGG );</w:t>
      </w:r>
    </w:p>
    <w:p>
      <w:r>
        <w:t>dass der Beschwerdegegnerin keine Parteientschädigung zuzusprechen ist, da ihr im Zusammenhang mit dem bundesgerichtlichen Verfahren kein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 Verfügung wird den Parteien und dem Obergericht des Kantons Zug, I. Zivilabteilung, schriftlich mitgeteilt.</w:t>
      </w:r>
    </w:p>
    <w:p>
      <w:r>
        <w:t>Lausanne, 11. November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