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4A_543/2019 vom 30. April 2020</w:t>
      </w:r>
    </w:p>
    <w:p>
      <w:r>
        <w:t>Bundesgericht, 2020-04-30, FR</w:t>
      </w:r>
    </w:p>
    <w:p>
      <w:r>
        <w:rPr>
          <w:b/>
        </w:rPr>
        <w:t xml:space="preserve">Quelle: </w:t>
      </w:r>
      <w:r>
        <w:t>https://mcp.opencaselaw.ch/entscheid/bger_4A_543_2019</w:t>
      </w:r>
    </w:p>
    <w:p>
      <w:r>
        <w:t>FR: TF 4A_543/2019 du 30 avril 2020</w:t>
      </w:r>
    </w:p>
    <w:p>
      <w:r>
        <w:t>IT: TF 4A_543/2019 del 30 aprile 2020</w:t>
      </w:r>
    </w:p>
    <w:p>
      <w:pPr>
        <w:pStyle w:val="Heading2"/>
      </w:pPr>
      <w:r>
        <w:t>Erwägungen</w:t>
      </w:r>
    </w:p>
    <w:p>
      <w:r>
        <w:rPr>
          <w:b/>
        </w:rPr>
        <w:t>E. 1</w:t>
      </w:r>
    </w:p>
    <w:p>
      <w:r>
        <w:t>Les décisions de dernière instance cantonale concernant l'exécution de sentences arbitrales sont susceptibles du recours en matière civile selon les art. 72 al. 2 let. b ch. 1 LTF (Bernard Corboz, in Commentaire de la LTF, 2e éd., 2014, n° 33 ad art. 72 LTF ) et 75 al. 1 LTF.</w:t>
      </w:r>
    </w:p>
    <w:p>
      <w:r>
        <w:t>Les litiges portant sur la qualité de membre d'une association ne sont pas des affaires pécuniaires aux termes de l' art. 74 al. 1 LTF ( ATF 108 II 6 consid. 1 p. 9; 108 II 77 consid. 1a p. 79 i.i.); le recours en matière civile est par conséquent recevable sans égard à la valeur litigieuse.</w:t>
      </w:r>
    </w:p>
    <w:p>
      <w:r>
        <w:rPr>
          <w:b/>
        </w:rPr>
        <w:t>E. 2</w:t>
      </w:r>
    </w:p>
    <w:p>
      <w:r>
        <w:t>La sentence rendue par le Tribunal arbitral du sport le 1er mai 2017 est issue d'une procédure d'arbitrage international soumise aux art. 176 et ss de la loi fédérale sur le droit international privé (LDIP). Parce que cette sentence était susceptible du recours prévu par l' art. 191 LDIP , son exécution en Suisse est soumise aux art. 335 et ss CPC (Franz Kellerhals, in Commentaire bernois, n° 8 ad art. 335 CPC ; Andreas Bucher, in Commentaire romand, n° 4 ad art. 194 LDIP ). Le Juge de paix s'est prononcé le 24 octobre 2018 puis le 2 juillet 2019 à titre de tribunal de l'exécution selon l' art. 338 al. 1 CPC .</w:t>
      </w:r>
    </w:p>
    <w:p>
      <w:r>
        <w:t>La même sentence arbitrale ou la même décision judiciaire peut être au besoin suivie de plusieurs procédures successives devant le tribunal de l'exécution, en particulier lorsque des mesures d'exécution d'abord ordonnées n'aboutissent pas au résultat voulu et qu'il se révèle nécessaire de les répéter ou de les compléter (Kellerhals, op. cit., n° 48 ad art. 343 CPC ). Une décision du tribunal de l'exécution n'est en revanche pas elle-même susceptible d'une procédure d'exécution selon les art. 335 et ss CPC. En l'espèce, la deuxième requête adressée au Juge de paix ne pouvait donc tendre qu'à de nouvelles mesures d'exécution de la sentence arbitrale du 1er mai 2017. Dans le cadre des griefs qui lui sont présentés, le Tribunal fédéral doit vérifier si le refus de ces nouvelles mesures est compatible avec le droit.</w:t>
      </w:r>
    </w:p>
    <w:p>
      <w:r>
        <w:rPr>
          <w:b/>
        </w:rPr>
        <w:t>E. 3</w:t>
      </w:r>
    </w:p>
    <w:p>
      <w:r>
        <w:t>La Chambre des recours retient que l'intimée a exécuté la sentence arbitrale en invitant le club recourant à faire valoir d'éventuels éléments nouveaux à l'appui de sa candidature, le 23 novembre 2018, puis en se prononçant sur la candidature le 29 du même mois. La sentence étant ainsi exécutée, il n'y a plus matière à exécution forcée.</w:t>
      </w:r>
    </w:p>
    <w:p>
      <w:r>
        <w:t>Le recourant conteste catégoriquement que la sentence soit dûment exécutée. Il affirme notamment que le délai de cinq jours imparti selon l'interpellation du 23 novembre 2018 était d'autant moins suffisant que cette interpellation ne lui est parvenue que dans les premières heures du lendemain 24 novembre.</w:t>
      </w:r>
    </w:p>
    <w:p>
      <w:r>
        <w:t>L'interpellation et le délai imparti devaient permettre à au recourant l'exercice du « droit d'être entendu » prévu dans le dispositif de la sentence arbitrale. On ne saurait surestimer l'importance de ce droit d'être entendu car la candidature du recourant était pendante et litigieuse depuis plusieurs années, de sorte que la position et les arguments de chaque partie étaient de toute évidence bien connus de l'autre partie. Le recourant devait de plus s'attendre à une démarche de l'intimée dans le délai d'exécution assigné par la première ordonnance du Juge de paix; il pouvait en conséquence se préparer à faire valoir ses moyens de manière appropriée. Il est à cet égard sans importance que l'ordonnance fût attaquée devant la Chambre des recours car selon l' art. 325 al. 1 CPC , le recours n'avait pas d'effet suspensif. Enfin, le recourant omet totalement d'énumérer les éléments nouveaux et utiles à sa candidature qu'il ne pouvait censément pas faire valoir en quatre jours mais seulement dans un délai plus long.</w:t>
      </w:r>
    </w:p>
    <w:p>
      <w:r>
        <w:t>Le recourant expose aussi que la décision de rejet de sa candidature prise le 29 novembre 2018 ne lui a jamais été formellement notifiée et que le Tribunal arbitral du sport a annulé cette décision le 14 octobre 2019 à l'issue d'une nouvelle procédure arbitrale. Le recourant perd de vue que par l'effet des art. 326 al. 1 CPC et 99 al. 1 LTF, les moyens déduits de faits qui n'ont pas été allégués devant le tribunal de l'exécution, y compris de faits postérieurs à la procédure d'exécution, sont irrecevables. Pour le surplus, ladite décision était connue du recourant lorsque celui-ci a introduit sa deuxième requête le 21 février 2019. Le comité de direction était statutairement compétent pour l'adopter. Par son libellé, le dispositif de la sentence du 1er mai 2017 n'exigeait pas une décision de l'assemblée générale et moins encore une décision accueillant la candidature. La décision correspondait donc à ce qu'exigeait le dispositif. La sentence étant entièrement exécutée, il n'y avait pas matière à ordonner de nouvelles mesures d'exécution. Ainsi, dans la mesure où il est recevable, le recours en matière civile se révèle privé de fondement.</w:t>
      </w:r>
    </w:p>
    <w:p>
      <w:r>
        <w:rPr>
          <w:b/>
        </w:rPr>
        <w:t>E. 4</w:t>
      </w:r>
    </w:p>
    <w:p>
      <w:r>
        <w:t>A titre de partie qui succombe, le recourant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