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4A_542/2025 vom 3. November 2025</w:t>
      </w:r>
    </w:p>
    <w:p>
      <w:r>
        <w:t>Bundesgericht, 2025-11-03, DE</w:t>
      </w:r>
    </w:p>
    <w:p>
      <w:r>
        <w:rPr>
          <w:b/>
        </w:rPr>
        <w:t xml:space="preserve">Quelle: </w:t>
      </w:r>
      <w:r>
        <w:t>https://mcp.opencaselaw.ch/entscheid/bger_4A_542_2025</w:t>
      </w:r>
    </w:p>
    <w:p>
      <w:r>
        <w:t>FR: TF 4A_542/2025 du 3 novembre 2025</w:t>
      </w:r>
    </w:p>
    <w:p>
      <w:r>
        <w:t>IT: TF 4A_542/2025 del 3 novembre 2025</w:t>
      </w:r>
    </w:p>
    <w:p>
      <w:pPr>
        <w:pStyle w:val="Heading2"/>
      </w:pPr>
      <w:r>
        <w:t>Erwägungen</w:t>
      </w:r>
    </w:p>
    <w:p>
      <w:r>
        <w:rPr>
          <w:b/>
        </w:rPr>
        <w:t>E. 1</w:t>
      </w:r>
    </w:p>
    <w:p>
      <w:r>
        <w:t>Der Einzelrichter des Bezirksgerichts Hochdorf verpflichtete die Beschwerdeführer auf Gesuch der Beschwerdegegnerin hin mit Entscheid vom 18. Juli 2025, die 2,5-Zimmer-Wohnung mit Reduit, EG rechts, an der U.________strasse, V.________, innert 10 Tagen seit Rechtskraft des Entscheids ordnungsgemäss zu räumen, zu reinigen und zu verlassen und der Beschwerdegegnerin sämtliche Schlüssel des Mietobjekts zurückzugeben. Für den Unterlassungsfall wurde die Beschwerdegegnerin ermächtigt, für die Vollstreckung die Hilfe der Luzerner Polizei in Anspruch zu nehmen. Mit Entscheid vom 19. September 2025 trat das Kantonsgericht auf eine von den Beschwerdeführern dagegen erhobene Berufung nicht ein, da diese den gesetzlichen Rüge- und Begründungsanforderungen nicht genüge. Zusätzlich führte das Kantonsgericht aus, dass die Berufung abzuweisen gewesen wäre, wenn darauf hätte eingetreten werden können. Gegen diesen Entscheid erhoben die Beschwerdeführer mit Eingabe vom 27. Oktober 2025 (Postaufgabe am 29. Oktober 2025) beim Bundesgericht Beschwerde. Gleichzeitig stellten sie sinngemäss das Gesuch, es sei ihnen für das bundesgerichtliche Verfahren die unentgeltliche Rechtspflege zu gewähren.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 Diesen Anforderungen an die Begründung genügt die Eingabe vom 27./29. Oktober 2025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3</w:t>
      </w:r>
    </w:p>
    <w:p>
      <w:r>
        <w:t>Das Gesuch der Beschwerdeführer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 Dem Ausgang des Verfahrens entsprechend sind die Gerichtskosten den Beschwerdeführern unter solidarischer Haftbarkeit aufzuerlegen ( Art. 66 Abs. 1 und 5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