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542/2021 vom 28. Februar 2022</w:t>
      </w:r>
    </w:p>
    <w:p>
      <w:r>
        <w:t>Bundesgericht, 2022-02-28, FR</w:t>
      </w:r>
    </w:p>
    <w:p>
      <w:r>
        <w:rPr>
          <w:b/>
        </w:rPr>
        <w:t xml:space="preserve">Quelle: </w:t>
      </w:r>
      <w:r>
        <w:t>https://mcp.opencaselaw.ch/entscheid/bger_4A_542_2021</w:t>
      </w:r>
    </w:p>
    <w:p>
      <w:r>
        <w:t>FR: TF 4A 542/2021 du 28 février 2022</w:t>
      </w:r>
    </w:p>
    <w:p>
      <w:r>
        <w:t>IT: TF 4A 542/2021 del 28 febbraio 2022</w:t>
      </w:r>
    </w:p>
    <w:p>
      <w:pPr>
        <w:pStyle w:val="Heading2"/>
      </w:pPr>
      <w:r>
        <w:t>Regeste</w:t>
      </w:r>
    </w:p>
    <w:p>
      <w:r>
        <w:t>arbitrage international en matière de sport,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qui du français (le recourant), qui de l'anglais (l'intimée). Dès lors, le présent arrêt sera rendu dans la langue du recours, conformément à l'usage.</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du TAS se trouve à Lausanne. L'une des parties au moins n'avait pas son domicile en Suisse au moment déterminant. Les dispositions du chapitre 12 de la LDIP sont donc applicables ( art. 176 al. 1 LDIP ).</w:t>
      </w:r>
    </w:p>
    <w:p>
      <w:r>
        <w:rPr>
          <w:b/>
        </w:rPr>
        <w:t>E. 3</w:t>
      </w:r>
    </w:p>
    <w:p>
      <w:r>
        <w:t>Dans son mémoire, le recourant s'emploie à démontrer que la valeur litigieuse fixée par l' art. 74 al. 1 let. b LTF est atteinte. Cet exposé est toutefois superflu. Il a en effet échappé à l'intéressé que l' art. 77 al. 1 LTF , dans sa nouvelle teneur en vigueur depuis le 1er janvier 2021 (RO 2020 4179), précise que le recours en matière civile est recevable contre les décisions de tribunaux arbitraux indépendamment de la valeur litigieuse, tant pour l'arbitrage international que l'arbitrage interne (arrêt 4A_200/2021 du 21 juillet 2021 consid. 2). Pour le reste, qu'il s'agisse de l'objet du recours, de la qualité pour recourir, du délai de recours ou encore des motifs de recours invoqués, aucune de ces conditions de recevabilité ne fait problème en l'espèce. Rien ne s'oppose, dès lors, à l'entrée en matière. Demeure réservé l'examen de la recevabilité des griefs formulés par le recourant.</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(arrêt 4A_522/2016 du 2 décembre 2016 consid. 3.1).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4A_34/2016 du 25 avril 2017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rPr>
          <w:b/>
        </w:rPr>
        <w:t>E. 5</w:t>
      </w:r>
    </w:p>
    <w:p>
      <w:r>
        <w:t>Dans un premier moyen, le recourant, se plaignant d'une violation de son droit d'être entendu ( art. 190 al. 2 let . d LDIP), reproche au TAS de n'avoir pas satisfait à son devoir minimum de traiter les problèmes pertinents.</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arrêt 4A_478/2017, précité, consid. 3.2.1). 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5.2</w:t>
      </w:r>
    </w:p>
    <w:p>
      <w:r>
        <w:t>Pour étayer son grief, le recourant expose qu'il a soutenu, dans son mémoire d'appel soumis au TAS, qu'il avait cessé d'exercer toutes ses fonctions dans le domaine du football au début de l'année 2012 et que les faits survenus ultérieurement relatifs à la commercialisation des droits de diffusion de la Copa do Brasil ne tombaient dès lors pas sous le coup des dispositions du CEF. A cet égard, il rappelle que les sociétés B.________ et D.________ ont conclu un contrat tendant à la répartition des bénéfices liés à la couverture des éditions 2013 à 2022 de la Copa do Brasil en août 2012 soit après son départ. L'intéressé fait grief à la Formation de ne pas s'être prononcée sur ce moyen qu'il avait régulièrement avancé dans son mémoire d'appel. Il s'emploie en outre à démontrer que cet argument était propre à influencer l'issue du litige.</w:t>
      </w:r>
    </w:p>
    <w:p>
      <w:r>
        <w:rPr>
          <w:b/>
        </w:rPr>
        <w:t>E. 5.3</w:t>
      </w:r>
    </w:p>
    <w:p>
      <w:r>
        <w:t>Tel qu'il est présenté, le grief ne saurait prospérer. Force est d'emblée de relever que le recourant, sous le couvert d'une prétendue violation de son droit d'être entendu, s'en prend à la motivation du TAS et tente d'obtenir un examen matériel de la sentence par l'autorité de recours. Il n'y a pas lieu de le suivre sur ce terrain-là. En tout état de cause, la lecture de la sentence entreprise permet de constater que les arbitres ont bel et bien pris en considération l'argumentation du recourant, contrairement à ce que ce dernier soutient. Les éléments auxquels fait allusion l'intéressé dans ses écritures ont en effet été mentionnés et exposés dans la sentence attaquée (n. 53). La Formation a en outre correctement résumé, sous n. 132 de sa sentence, la position des parties en ce qui concerne les faits reprochés au recourant en lien avec la Copa do Brasil , en indiquant ce qui suit: " 132. The facts are disputed among the Parties. The Appellant submits that the evidence on file relates exclusively to 2014, i.e. a period of time when the Appellant was no longer a football official, and that the alleged bribes are not demonstrated; this is the case with respect to the telephone conversation between Mr E.________ and Mr C.________ as well as the evidence referring to payments made between Mr E.________ and Mr C.________ with respect to the joint exploitation of the rights in the Copa do Brasil as agreed for the period between 2013 and 2022. Moreover, the evidence on file does not refer to the Appellant, which makes sense, since at the time of this evidence the Appellant was no longer active in football, so that it would make no sens for third parties to pay bribes to him. FIFA, in turn, contends that the evidence on file refers to the Appellant receiving bribe payments prior to 2014, at a period of time when he was an official within the meaning of the FCE. The evidence on file unambiguously confirms that the Appellant solicited and received bribes (i) from Mr C.________ in connection with the assignment of the commercial rights of the Copa do Brasil to B.________ from 1990 to 2009 and reaffirmed in 2009, and (ii) from Mr E.________, when the same commercial rights were assigned to D.________ in 2011. " Face aux arguments antagonistes des parties, la Formation a visiblement privilégié la thèse défendue par l'intimée écartant ainsi, par la force des choses, celle prônée par le recourant. Elle a en effet constaté que le contrat, signé par le recourant, en vertu duquel la société D.________ s'était vu attribuer les droits relatifs à la couverture de plusieurs éditions de la Copa do Brasil avait été passé en décembre 2011, soit avant la démission du recourant. Au moment d'apprécier les faits reprochés à ce dernier en lien avec cette compétition de football, la Formation a manifestement attaché de l'importance au contrat conclu en décembre 2011 et non à la convention passée en août 2012 entre D.________ et B.________. Lorsqu'elle a examiné si les sommes versées ou promises à l'intéressé étaient en lien avec ses activités officielles, elle a en effet considéré ce qui suit: " 149. In order for a violation of Article 27 (1) of the FCE to occur, there must be a quid pro quo or ratio of equivalence between the undue advantage and the specific action by the official obtaining it. Based on the wording of Article 27 (1) of the FCE, in order to assess the existence of such ratio of equivalence, the Panel shall address the following requisites: (1) the payment involves an act which is related to official activities of the recipient or offeree; (...) 150. As to the first requisite, the Panel notes that, in his capacity of President of the CBF and member of the CONMEBOL Executive Committee, the Appellant signed most of the contracts relating to Copa Libertadores, the agency contract (...) in connection with the Copa America and the contract with D.________ in relation to the Copa do Brasil. All of these acts are - without any doubt - acts relating to official activities of the Appellant. The first requisite is therefore met. " Force est dès lors d'admettre, comme le démontre du reste de façon pertinente l'intimée dans sa réponse, que la Formation a rejeté, à tout le moins de manière implicite, les arguments avancés par le recourant, lequel ne saurait au demeurant obtenir une motivation précise sur chaque détail du raisonnement tenu par les arbitres. Quant à savoir si la motivation fournie est cohérente et convaincante, cette question ne ressortit pas au droit d'être entendu et échappe à la cognition du Tribunal fédéral. A le supposer recevable, le grief considéré ne peut dès lors qu'être rejeté.</w:t>
      </w:r>
    </w:p>
    <w:p>
      <w:r>
        <w:rPr>
          <w:b/>
        </w:rPr>
        <w:t>E. 6</w:t>
      </w:r>
    </w:p>
    <w:p>
      <w:r>
        <w:t>Dans un second moyen, le recourant s'en prend à la sanction disciplinaire qui lui a été infligée. Invoquant notamment l' art. 27 al. 2 CC , il soutient que la sentence attaquée est contraire à l'ordre public matériel ( art. 190 al. 2 let . e LDIP), dès lors que la sanction disproportionnée prononcée à son endroit porterait atteinte aux droits de sa personnalité. Il reproche notamment à la Formation de n'avoir pas procédé à une pesée soigneuse des différents intérêts en présence, d'avoir omis de tenir compte de certains éléments à décharge et de ne pas avoir entrepris de véritable réflexion sur la proportionnalité de la sanction. Il soutient que la sanction qui lui a été infligée est excessive et que, du fait de son manque de précision, elle l'exposerait au bon vouloir de l'intimée.</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ATF 137 I 1 consid. 2.4; 136 I 316 consid. 2.2.2 et les références citées). Selon la jurisprudence, la violation de l' art. 27 al. 2 CC n'est pas automatiquement contraire à l'ordre public matériel; encore faut-il que l'on ait affaire à un cas grave et net de violation d'un droit fondamental ( ATF 144 III 120 consid. 5.4.2).</w:t>
      </w:r>
    </w:p>
    <w:p>
      <w:r>
        <w:rPr>
          <w:b/>
        </w:rPr>
        <w:t>E. 6.2</w:t>
      </w:r>
    </w:p>
    <w:p>
      <w:r>
        <w:t>Le devoir de se conformer aux règles de la bonne foi vaut pour quiconque participe à la procédure. Ce principe, de portée générale, qui a été codifié pour la procédure civile ordinaire (cf. art. 52 CPC ), régit aussi la procédure arbitrale et ce dans le domaine de l'arbitrage interne comme en matière d'arbitrage international (arrêts 4A_600/2016, précité, consid. 1.1.4; 4A_374/2014 du 26 février 2015 consid. 4.2.2 et les références citées).</w:t>
      </w:r>
    </w:p>
    <w:p>
      <w:r>
        <w:rPr>
          <w:b/>
        </w:rPr>
        <w:t>E. 6.3.1</w:t>
      </w:r>
    </w:p>
    <w:p>
      <w:r>
        <w:t>En l'occurrence, le recourant ne prétend pas ni ne démontre avoir formulé le moindre grief devant le TAS au sujet de la sanction qui lui avait été infligée par la Chambre de jugement. Et pour cause puisqu'il ressort de la sentence attaquée, sous n. 158, que l'intéressé a déclaré lors de l'audience tenue par la Formation que, dans l'hypothèse où il serait reconnu coupable d'avoir enfreint l'art. 27 al. 1 CEF, la sanction prononcée à son endroit ne serait alors pas disproportionnée. En se plaignant après coup, devant le Tribunal fédéral, de la sévérité excessive de ladite sanction et en tirant argument de l'absence de motivation suffisante de la Formation sur cette question, le recourant, qui n'a non seulement pas formulé la moindre critique à cet égard devant le TAS mais a expressément reconnu que la sanction n'était pas disproportionnée, adopte un comportement contradictoire, incompatible avec les règles de la bonne foi ( venire contra factum proprium ), qui ne mérite aucune protection. La tentative de l'intéressé de minimiser a posteriori la portée de ses déclarations, celui-ci affirmant, de manière difficilement intelligible, s'être exprimé ainsi aux fins de " montrer sa confiance à la façon de celui qui met sa main à couper ", n'apparaît au demeurant guère convaincante.</w:t>
      </w:r>
    </w:p>
    <w:p>
      <w:r>
        <w:rPr>
          <w:b/>
        </w:rPr>
        <w:t>E. 6.3.2</w:t>
      </w:r>
    </w:p>
    <w:p>
      <w:r>
        <w:t>En tout état de cause, le recourant ne démontre pas en quoi le résultat auquel a abouti la Formation serait contraire à l'ordre public matériel au sens de l' art. 190 al. 2 let . e LDIP. En matière de sanctions disciplinaires infligées dans le domaine du sport, c'est le lieu de rappeler que le Tribunal fédéral n'intervient à l'égard des décisions rendues en vertu d'un pouvoir d'appréciation que si elles aboutissent à un résultat manifestement injuste ou à une iniquité choquante (arrêts 4A_318/2018, précité, consid. 4.5.2; 4A_600/2016, précité, consid. 3.7.2). Dans l'affaire Platini où elle a été amenée à examiner la sanction infligée à ce dernier sous l'angle déjà restreint du grief d'arbitraire au sens de l' art. 393 let . e CPC, la Cour de céans a relevé que seule la mise en évidence d'une ou de plusieurs violations crasses de leur pouvoir d'appréciation par les arbitres, qui plus est à l'origine d'une sanction excessivement sévère, pourrait justifier l'intervention du Tribunal fédéral (arrêt 4A_600/2016, précité, consid. 3.7.2). Le pouvoir d'examen de la Cour de céans est encore plus limité in casu , puisqu'il s'exerce dans le cadre du grief de contrariété à l'ordre public matériel, notion plus restrictive que celle d'arbitraire. Il convient de garder cela à l'esprit lors de l'analyse des critiques élevées contre la sanction litigieuse. Considérés à la lumière de ces règles et principes, dans le cadre prédéfini du pouvoir d'examen dont jouit la Cour de céans, les moyens soulevés par le recourant ne permettent nullement d'établir que la sentence serait contraire à l'ordre public matériel dans son résultat en ce qui concerne la peine disciplinaire qu'il s'est vu infliger par la Formation. L'intéressé ne remet en effet pas en question les éléments à charge retenus par le TAS pour justifier la sanction qui lui a été infligée, à savoir le montant extrêmement important des pots-de-vin en jeu, le caractère intentionnel de ses agissements ainsi que la position élevée qu'il occupait au sein des hautes instances du football. Par ailleurs, lorsque l'intéressé, âgé de 74 ans, se plaint de la durée illimitée de la sanction et de ne plus pouvoir exercer d'activités économiques dans le domaine du football, il ne faut pas perdre de vue que le recourant a lui-même décidé de mettre un terme à ses activités dans le monde du football en 2012 déjà, de sorte que les atteintes à la personnalité dont il se plaint doivent être sérieusement tempérées. Au demeurant, lorsque le recourant affirme que la suspension prononcée à son encontre équivaut à un " boycott illimité " supprimant sa liberté économique et fait valoir que le montant de l'amende qui lui a été infligée représente 110 ans du revenu moyen au Brésil, il semble confondre le Tribunal fédéral statuant sur un recours en matière d'arbitrage international avec une cour d'appel autorisée à revoir librement la mesure de la sanction. Quoi qu'il en soit, le recourant ne rend nullement vraisemblable ni n'établit que la suspension et l'amende qui ont été prononcées à son encontre mettraient véritablement son existence économique en péril, étant précisé que l'intéressé conserve la possibilité d'exercer d'autres activités lucratives dans d'autres secteurs. Par ailleurs, quoi que soutienne l'intéressé, l'extension territoriale de la sanction au plan mondial est logique et légitime dans le cas d'une fédération internationale régissant le sport concerné (arrêt 4A_600/2016, précité, consid. 3.7.3). Le recourant dénonce enfin le manque de précision de la sanction prononcée à son encontre lui interdisant " toute activité relative au football " ( any kind of football-related activity ). En cela, il n'a pas tout à fait tort. Force est, en effet, d'admettre que cette formulation pourrait théoriquement favoriser d'éventuels abus de la part de l'intimée. Les considérations émises sur ce point dans l'affaire Platini peuvent toutefois être reprises ici mutatis mutandis (arrêt 4A_600/2016, précité, consid. 3.7.3). Il faut, en effet, bien marquer que pareille interdiction ne saurait être assimilée à un blanc-seing donné à l'intimée, qui justifierait l'application sans limites de cette interdiction à n'importe quelle activité, fût-elle sans rapport avec les domaines régis par l'intimée ou ses associations affiliées, c'est-à-dire essentiellement l'organisation des compétitions de football. Il n'est toutefois pas nécessaire d'annuler pour autant la sentence attaquée, car la sanction prononcée est susceptible d'être interprétée d'une manière soutenable. Quoi qu'en dise le recourant, on peine à imaginer que l'intimée s'ingénierait à inciter tel ou tel sponsor à ne pas faire appel à ses services, voire à lui interdire d'entrer dans un stade comme simple spectateur, d'assister aux rencontres disputées par son petit-fils ou de regarder un match de football dans son salon. Cet argument relève de la pure spéculation. Au demeurant, l'intimée pourrait également se voir opposer ici les concessions faites dans l'affaire Platini (arrêt 4A_600/2016, précité, consid. 3.7.3) si d'aventure il lui prenait l'envie d'appliquer de manière chicanière une sanction dont l'objet est défini un peu trop largement. Au vu de ce qui précède, la sanction infligée au recourant, entérinée par le TAS, n'apparaît pas incompatible avec l'ordre public matériel, eu égard notamment à la gravité des faits reprochés à l'intéressé.</w:t>
      </w:r>
    </w:p>
    <w:p>
      <w:r>
        <w:rPr>
          <w:b/>
        </w:rPr>
        <w:t>E. 7</w:t>
      </w:r>
    </w:p>
    <w:p>
      <w:r>
        <w:t>Il s'ensuit le rejet du recours dans la mesure de sa recevabilité. Le recourant, qui succombe, devra payer les frais de la procédure fédérale ( art. 66 al. 1 LTF ). Il n'y a pas lieu d'allouer de dépens à l'intimée dès lors que c'est son propre département juridique qui a rédigé sa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