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4A_53/2015 vom 5. März 2015</w:t>
      </w:r>
    </w:p>
    <w:p>
      <w:r>
        <w:t>Bundesgericht, 2015-03-05, DE</w:t>
      </w:r>
    </w:p>
    <w:p>
      <w:r>
        <w:rPr>
          <w:b/>
        </w:rPr>
        <w:t xml:space="preserve">Quelle: </w:t>
      </w:r>
      <w:r>
        <w:t>https://mcp.opencaselaw.ch/entscheid/bger_4A_53_2015</w:t>
      </w:r>
    </w:p>
    <w:p>
      <w:r>
        <w:t>FR: TF 4A_53/2015 du 5 mars 2015</w:t>
      </w:r>
    </w:p>
    <w:p>
      <w:r>
        <w:t>IT: TF 4A_53/2015 del 5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4A_53/2015</w:t>
      </w:r>
    </w:p>
    <w:p>
      <w:r>
        <w:t>Verfügung vom 5. März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Huguenin.</w:t>
      </w:r>
    </w:p>
    <w:p>
      <w:r>
        <w:t>Verfahrensbeteiligte</w:t>
      </w:r>
    </w:p>
    <w:p>
      <w:r>
        <w:t>A.________ AG,</w:t>
      </w:r>
    </w:p>
    <w:p>
      <w:r>
        <w:t>vertreten durch Rechtsanwalt Dr. Peter Reichart,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</w:t>
      </w:r>
    </w:p>
    <w:p>
      <w:r>
        <w:t>Dr. Alexander M. Glutz von Blotzheim,</w:t>
      </w:r>
    </w:p>
    <w:p>
      <w:r>
        <w:t>Beschwerdegegner.</w:t>
      </w:r>
    </w:p>
    <w:p>
      <w:r>
        <w:t>Gegenstand</w:t>
      </w:r>
    </w:p>
    <w:p>
      <w:r>
        <w:t>Arbeitsvertrag,</w:t>
      </w:r>
    </w:p>
    <w:p>
      <w:r>
        <w:t>Beschwerde gegen das Urteil des Obergerichts des Kantons Zürich, II. Zivilkammer, vom 5. Dezember 2014.</w:t>
      </w:r>
    </w:p>
    <w:p>
      <w:r>
        <w:t>In Erwägung,</w:t>
      </w:r>
    </w:p>
    <w:p>
      <w:r>
        <w:t>dass die Beschwerdeführerin das Urteil des Obergerichts des Kantons Zürich vom 5. Dezember 2014 mit Beschwerde vom 23. Januar 2015 beim Bundesgericht anfocht;</w:t>
      </w:r>
    </w:p>
    <w:p>
      <w:r>
        <w:t>dass die Beschwerdeführerin mit Schreiben vom 2. März 2015 erklärte, sie ziehe ihre Beschwerde zurück;</w:t>
      </w:r>
    </w:p>
    <w:p>
      <w:r>
        <w:t>dass das bundesgerichtliche Verfahren damit im Verfahren nach Art. 32 Abs. 2 BGG abgeschrieben werden kann;</w:t>
      </w:r>
    </w:p>
    <w:p>
      <w:r>
        <w:t>dass die reduzierten Gerichtskosten der Beschwerdeführerin aufzuerlegen sind ( Art. 66 Abs. 2 und 3 BGG );</w:t>
      </w:r>
    </w:p>
    <w:p>
      <w:r>
        <w:t>dass die Beschwerdeführerin den Beschwerdegegner für den durch das bundesgerichtliche Verfahren verursachten Aufwand zu entschädigen hat (Art. 66 Abs. 3 in Verbindung mit Art. 68 Abs. 4 BGG );</w:t>
      </w:r>
    </w:p>
    <w:p>
      <w:r>
        <w:t>dass die Parteientschädigung in Anwendung von Art. 8 Abs. 3 des Reglementes über die Parteientschädigung vom 31. März 2006 (SR 173.110.210.3) auf Fr. 6'000.-- festzusetzen ist;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 Beschwerdeführerin hat den Beschwerdegegner für das bundesgerichtliche Verfahren mit Fr. 6'000.-- zu entschädigen.</w:t>
      </w:r>
    </w:p>
    <w:p>
      <w:r>
        <w:t>4.</w:t>
      </w:r>
    </w:p>
    <w:p>
      <w:r>
        <w:t>Diese Verfügung wird den Parteien und dem Obergericht des Kantons Zürich, II. Zivilkammer, schriftlich mitgeteilt.</w:t>
      </w:r>
    </w:p>
    <w:p>
      <w:r>
        <w:t>Lausanne, 5. März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