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4A_53/2010 vom 29. April 2010</w:t>
      </w:r>
    </w:p>
    <w:p>
      <w:r>
        <w:t>Bundesgericht, 2010-04-29, FR</w:t>
      </w:r>
    </w:p>
    <w:p>
      <w:r>
        <w:rPr>
          <w:b/>
        </w:rPr>
        <w:t xml:space="preserve">Quelle: </w:t>
      </w:r>
      <w:r>
        <w:t>https://mcp.opencaselaw.ch/entscheid/bger_4A_53_2010</w:t>
      </w:r>
    </w:p>
    <w:p>
      <w:r>
        <w:t>FR: TF 4A_53/2010 du 29 avril 2010</w:t>
      </w:r>
    </w:p>
    <w:p>
      <w:r>
        <w:t>IT: TF 4A_53/2010 del 29 aprile 2010</w:t>
      </w:r>
    </w:p>
    <w:p>
      <w:pPr>
        <w:pStyle w:val="Heading2"/>
      </w:pPr>
      <w:r>
        <w:t>Erwägungen</w:t>
      </w:r>
    </w:p>
    <w:p>
      <w:r>
        <w:rPr>
          <w:b/>
        </w:rPr>
        <w:t>E. 1.1</w:t>
      </w:r>
    </w:p>
    <w:p>
      <w:r>
        <w:t>Interjeté par la partie qui a succombé dans ses conclusions en paiement ( art. 76 al. 1 LTF ) et dirigé contre un arrêt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telle que l'entend l' art. 9 Cst. (135 III 127 consid. 1.5 p. 130, 397 consid. 1.5 p. 401 - ou en violation du droit au sens de l' art. 95 LTF ( art. 105 al. 2 LTF ).</w:t>
      </w:r>
    </w:p>
    <w:p>
      <w:r>
        <w:t>La partie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rectification demandée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Se plaignant d'une constatation manifestement inexacte des faits, le recourant voudrait apporter des précisions concernant le contenu de la proposition d'assurance. Il n'y a pas lieu de donner suite à cette demande, parce que ce point de fait est impropre à exercer une influence sur le sort de la cause ( art. 97 al. 1 LTF ). En effet, le recourant, dûment informé du texte de l' art. 12 LCA ( art. 12 al. 2 LCA ), n'a pas réagi dans les quatre semaines après réception de la police, de sorte qu'il est lié par les termes de celle-ci et ne peut plus faire valoir qu'elle ne concorderait pas avec sa proposition ( art. 12 al. 1 LCA ).</w:t>
      </w:r>
    </w:p>
    <w:p>
      <w:r>
        <w:rPr>
          <w:b/>
        </w:rPr>
        <w:t>E. 2.2</w:t>
      </w:r>
    </w:p>
    <w:p>
      <w:r>
        <w:t>Invoquant une violation de l' art. 8 CC , le recourant reproche à la cour cantonale d'avoir mal apprécié les preuves en relation avec la proposition d'assurance.</w:t>
      </w:r>
    </w:p>
    <w:p>
      <w:r>
        <w:t>Il faut tout d'abord rappeler que l' art. 8 CC ne prescrit pas comment le juge doit apprécier les preuves et sur quelles bases il peut parvenir à une conviction ( ATF 127 III 519 consid. 2a p. 522). Cette norme cesse d'être applicable dès que le juge est parvenu à une conviction, positive ou négative ( ATF 128 III 271 consid. 2b/aa p. 277).</w:t>
      </w:r>
    </w:p>
    <w:p>
      <w:r>
        <w:t>De toute manière, il est sans pertinence, en raison de l' art. 12 LCA , de rechercher si la proposition d'assurance a été modifiée par l'assureur après avoir été signée par le recourant et son épouse.</w:t>
      </w:r>
    </w:p>
    <w:p>
      <w:r>
        <w:rPr>
          <w:b/>
        </w:rPr>
        <w:t>E. 2.3</w:t>
      </w:r>
    </w:p>
    <w:p>
      <w:r>
        <w:t>Pour éviter de sempiternelles controverses sur la conformité de la police avec les propositions ou discussions antérieures, le législateur a posé une règle stricte à l' art. 12 LCA , conçue dans l'intérêt des assureurs. La rigueur de cette règle est tempérée par l'exigence qu'elle soit insérée textuellement dans chaque police, afin que le preneur y soit rendu attentif ( art. 12 al. 2 LCA ). Selon l' art. 12 al. 1 LCA , si la teneur de la police ou des avenants ne concorde pas avec les conventions intervenues, le preneur d'assurance doit en demander la rectification dans les quatre semaines à partir de la réception de l'acte; faute de quoi, la teneur en est considérée comme acceptée. Il incombe donc au preneur, dûment averti, d'examiner avec soin la police pour s'assurer qu'elle correspond à sa volonté réelle. Contrairement à ce que pense le recourant, la question n'est pas de savoir si le preneur a tiré une copie de sa proposition d'assurance, s'il l'a conservée ou s'il se souvient avec précision de son contenu. Il est exigé du preneur qu'il examine avec soin la police et qu'il réagisse dans les quatre semaines si celle-ci ne correspond pas à sa volonté réelle. On peut raisonnablement attendre de lui qu'il sache ce qu'il veut ou non à ce moment déterminant. L' art. 12 al. 1 LCA crée donc une présomption juridique irréfragable que la teneur de la police est conforme à la réelle et commune intention des parties; toute contestation ultérieure du contenu de la police est exclue et il est sans effet de se référer à d'autres accords, même si la police ne reproduit effectivement pas ce qui avait été convenu (Franz Hasenböhler, Commentaire bâlois, Bundesgesetz über den Versicherungsvertrag, n° 39 ad art. 12 LCA et les références citées).</w:t>
      </w:r>
    </w:p>
    <w:p>
      <w:r>
        <w:t>Il ne ressort pas des constatations cantonales - qui lient le Tribunal fédéral ( art. 105 al. 1 LTF ) - que le recourant aurait été empêché de réagir dans les quatre semaines (cf. Hasenböhler, op. cit., n° 46 s. ad art. 12 LCA ).</w:t>
      </w:r>
    </w:p>
    <w:p>
      <w:r>
        <w:t>Faute de réaction dans le délai prescrit, le demandeur est lié par la teneur de la police d'assurance.</w:t>
      </w:r>
    </w:p>
    <w:p>
      <w:r>
        <w:t>En s'en tenant au contenu de la police, la cour cantonale n'a en rien violé l' art. 12 LCA .</w:t>
      </w:r>
    </w:p>
    <w:p>
      <w:r>
        <w:t>Il faut d'ailleurs observer, en accord avec la cour cantonale, que le recourant développe une argumentation incohérente qui se situe à la limite de la bonne foi. En effet, si on suit son argumentation fondée sur la proposition d'assurance, il n'aurait jamais voulu cette assurance complémentaire et celle-ci n'aurait pas été valablement convenue; on ne voit dès lors pas comment il pourrait se fonder sur cette assurance non conclue pour réclamer le remboursement des primes qu'il a payées. Tout au plus pourrait-il réclamer, dans les limites du délai de prescription, le remboursement des primes spécifiques qu'il a payées pour cette assurance qu'il ne voulait pas, soit 112 fr.20 par semestre. Or, ce n'est pas du tout ce qu'il demande. Pour réclamer le remboursement des primes intégrales, il se fonde précisément sur les droits découlant pour lui de cette assurance complémentaire, de sorte qu'il ne saurait prétendre simultanément que cette assurance n'a pas été conclue et n'existe pas.</w:t>
      </w:r>
    </w:p>
    <w:p>
      <w:r>
        <w:rPr>
          <w:b/>
        </w:rPr>
        <w:t>E. 2.4</w:t>
      </w:r>
    </w:p>
    <w:p>
      <w:r>
        <w:t>Faisant valoir une violation des art. 1 CO et 2 CC, le recourant se plaint de la manière dont la police d'assurance a été interprétée.</w:t>
      </w:r>
    </w:p>
    <w:p>
      <w:r>
        <w:t>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A supposer que la volonté réelle des parties ne puisse pas être établie ou que la volonté intime de celles-ci diverge, le juge doit interpréter les déclarations faites et les comportements selon la théorie de la confiance, ce qui signifie qu'il doit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 ATF 135 III 410 consid. 3.2 p. 412 s.).</w:t>
      </w:r>
    </w:p>
    <w:p>
      <w:r>
        <w:t>En l'espèce, la police d'assurance mentionne très clairement cette assurance complémentaire. Certes, il s'agit d'un texte préimprimé, mais le fait que ce poste n'ait pas été biffé permet raisonnablement de conclure que cette assurance complémentaire a été voulue par les parties. On ne peut rien déduire de contraire du fait qu'il n'y a aucune indication dans la colonne "capital assuré" puisque ce poste n'impliquait pas qu'un capital soit mentionné. En admettant que l'assurance complémentaire a été conclue entre les parties, la cour cantonale n'a pas enfreint les règles du droit fédéral sur l'interprétation des manifestations de volonté.</w:t>
      </w:r>
    </w:p>
    <w:p>
      <w:r>
        <w:t>Sur ce point également, l'argumentation du recourant est contradictoire puisqu'il se prévaut de l'assurance dont il conteste l'existence pour demander la restitution des primes intégrales.</w:t>
      </w:r>
    </w:p>
    <w:p>
      <w:r>
        <w:rPr>
          <w:b/>
        </w:rPr>
        <w:t>E. 2.5</w:t>
      </w:r>
    </w:p>
    <w:p>
      <w:r>
        <w:t>Le recourant soutient que l'assureur a violé son devoir de renseigner prévu par l' art. 3 LCA dans sa nouvelle teneur.</w:t>
      </w:r>
    </w:p>
    <w:p>
      <w:r>
        <w:t>Outre que cette disposition n'est entrée en vigueur que le 1er janvier 2007, soit plus de 20 après la conclusion du contrat d'assurance litigieux, il ne ressort nullement des constatations cantonales - qui lient le Tribunal fédéral ( art. 105 al. 1 LTF ) - que l'assureur aurait donné des renseignements faux ou incomplets.</w:t>
      </w:r>
    </w:p>
    <w:p>
      <w:r>
        <w:t>Au moment où la personne assurée a subi l'accident du 25 janvier 1992, on ne peut en tout cas pas reprocher à l'assureur de ne pas avoir renseigné le preneur sur ses droits, puisque l'intimée n'était pas à même de connaître cet événement tant qu'il n'avait pas été porté à sa connaissance. Sous cet angle également, le grief est dépourvu de toute consistance.</w:t>
      </w:r>
    </w:p>
    <w:p>
      <w:r>
        <w:rPr>
          <w:b/>
        </w:rPr>
        <w:t>E. 2.6</w:t>
      </w:r>
    </w:p>
    <w:p>
      <w:r>
        <w:t>Le litige porte en réalité sur l'application des règles de la prescription.</w:t>
      </w:r>
    </w:p>
    <w:p>
      <w:r>
        <w:t>Le recourant invoque dans ce contexte les art. 75 et 127 CO . Pourtant, il n'explique pas comment ces dispositions seraient applicables, de sorte que cette argumentation est incompréhensible.</w:t>
      </w:r>
    </w:p>
    <w:p>
      <w:r>
        <w:t>La cour cantonale a fait application de l'art. 46 al. 1 in initio LCA qui prévoit que les créances qui dérivent du contrat d'assurance se prescrivent par deux ans à dater du fait d'où naît l'obligation. La prescription commence donc à courir dès la survenance du fait qui génère le droit à la prestation, même si celui-ci était inconnu du créancier ( ATF 127 III 268 consid. 2b p. 270 s.; Christoph Graber, Commentaire bâlois, op. cit., n° 5 art. 46 LCA ). Le délai de deux ans prévu pour le contrat d'assurance s'applique aux prestations dues par l'assureur et aux primes dues par le preneur, mais non à une prétention en répétition de l'indu, dont la prescription est régie par l' art. 67 CO ( ATF 42 II 680 consid. 2a; Graber, op. cit., n° 3 ad art. 46 LCA ).</w:t>
      </w:r>
    </w:p>
    <w:p>
      <w:r>
        <w:t>La police décrit la libération du paiement des primes comme une "assurance" complémentaire; l'assureur prend effectivement le risque d'une incapacité de gain de la bénéficiaire et il réclame une prime (112 fr.20 par semestre) en contrepartie. Partant, on peut effectivement considérer cette libération comme une prestation de l'assureur dans le cadre du contrat d'assurance, exigible à chaque fois que la prime normale est due, c'est-à-dire à chaque échéance semestrielle. La survenance de l'échéance semestrielle alors que la bénéficiaire est en état d'incapacité de gain pour cause de maladie ou d'accident est donc le fait qui génère le droit à la libération et qui constitue le dies a quo du délai de prescription. La cour cantonale n'a pas violé l' art. 46 LCA en considérant que le droit à libération, après chaque échéance, est soumis à une prescription biennale.</w:t>
      </w:r>
    </w:p>
    <w:p>
      <w:r>
        <w:t>Il est certes possible de se demander - comme l'a fait incidemment la cour cantonale - si cette libération constitue vraiment une prestation d'assurance. Il semble plus logique de considérer que les parties sont en réalité convenues d'une condition casuelle négative (cf. à ce propos: Pascal Pichonnaz, Commentaire romand, Code des obligations I, n°s 29 et 30 ad art. 151 CO ): la prime d'assurance n'est due que si la bénéficiaire ne se trouve pas en état d'incapacité de gain pour cause de maladie ou d'accident. Comme l'assureur prend un risque en acceptant cette condition, il exige une contrepartie sous la forme d'une augmentation de la prime. Si l'on adopte cette construction juridique, il faut constater que le recourant a continué de payer des primes alors qu'en réalité il ne les devait plus sur la base du contrat. Il a donc payé des sommes qui n'étaient pas dues et il peut en demander la restitution en invoquant l'enrichissement illégitime ( art. 63 al. 1 CO ). L'action en restitution pour cause d'enrichissement illégitime se prescrit par un an à compter du jour où la partie lésée a eu connaissance de son droit de répétition, et, dans tous les cas, par dix ans dès la naissance de ce droit ( art. 67 al. 1 CO ). Par rapport à la prescription de l' art. 46 LCA , la différence essentielle consiste dans le fait que la prescription de l' art. 67 CO ne commence à courir qu'à partir de la connaissance effective du droit à restitution, même si l'on peut penser que le créancier aurait pu le connaître antérieurement ( ATF 109 II 433 consid. 2 p. 434 s.). Il n'y a aucune raison pour que le recourant ait continué de payer des primes alors qu'en réalité il ne les devait pas; il faut donc admettre qu'il les a payées sans savoir qu'il en était libéré (toute son argumentation tend d'ailleurs à démontrer ce point). A réception de la lettre du 21 novembre 2006, le recourant a su qu'il y avait une assurance pour la libération des primes et qu'il payait pour cela 112 fr.20 par semestre. Dès ce moment, il faut admettre qu'il avait une connaissance suffisante des faits permettant d'exiger la restitution. Or, selon les constatations cantonales souveraines ( art. 105 al. 1 LTF ), il n'a déposé sa demande que le 30 avril 2008, si bien qu'il a laissé passer le délai d'un an prescrit par l' art. 67 al. 1 CO sans accomplir aucun acte interruptif de prescription. Il ne pourrait donc réclamer que la restitution des primes échues dans l'année qui précède le dépôt de la demande en justice, ce qui conduirait à un résultat plus défavorable pour lui. Il ne se justifie pas d'approfondir la question; comme l'intimée n'a pas déposé de recours de son côté ( art. 100 al. 1 LTF ), la décision attaquée ne peut pas être modifiée en sa faveur, étant encore rappelé que le Tribunal fédéral est lié par les conclusions des parties ( art. 107 al. 1 LTF ).</w:t>
      </w:r>
    </w:p>
    <w:p>
      <w:r>
        <w:rPr>
          <w:b/>
        </w:rPr>
        <w:t>E. 2.7</w:t>
      </w:r>
    </w:p>
    <w:p>
      <w:r>
        <w:t>Invoquant l' art. 2 CC , le recourant prétend que l'intimée a invoqué la prescription de manière abusive.</w:t>
      </w:r>
    </w:p>
    <w:p>
      <w:r>
        <w:t>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 ATF 131 III 430 consid. 2 p. 437; 128 V 236 consid. 4a p. 241).</w:t>
      </w:r>
    </w:p>
    <w:p>
      <w:r>
        <w:t>En l'espèce, l'assureur ne pouvait connaître l'accident subi par la bénéficiaire avant qu'il ne lui soit annoncé, par lettre du 17 juillet 2007. L'intimée a rapidement, par courrier du 6 septembre 2007, invoqué la prescription et n'a jamais renoncé à ce moyen pour la période antérieure au 1er juillet 2005; elle n'a pas varié dans sa position et n'a pas adopté le moindre comportement qui aurait pu dissuader le recourant d'agir plus tôt. En conséquence, l'argument soulevé ne trouve aucune assise dans les faits constatés définitivement par l'autorité cantonale.</w:t>
      </w:r>
    </w:p>
    <w:p>
      <w:r>
        <w:t>Le moyen est infondé</w:t>
      </w:r>
    </w:p>
    <w:p>
      <w:r>
        <w:rPr>
          <w:b/>
        </w:rPr>
        <w:t>E. 3</w:t>
      </w:r>
    </w:p>
    <w:p>
      <w:r>
        <w:t>Il suit de là que le recours doit être rejeté.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