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4A_53/2007 vom 26. September 2007</w:t>
      </w:r>
    </w:p>
    <w:p>
      <w:r>
        <w:t>Bundesgericht, 2007-09-26, IT</w:t>
      </w:r>
    </w:p>
    <w:p>
      <w:r>
        <w:rPr>
          <w:b/>
        </w:rPr>
        <w:t xml:space="preserve">Quelle: </w:t>
      </w:r>
      <w:r>
        <w:t>https://mcp.opencaselaw.ch/entscheid/bger_4A_53_2007</w:t>
      </w:r>
    </w:p>
    <w:p>
      <w:r>
        <w:t>FR: TF 4A_53/2007 du 26 septembre 2007</w:t>
      </w:r>
    </w:p>
    <w:p>
      <w:r>
        <w:t>IT: TF 4A_53/2007 del 26 settembre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dopo questa data, la procedura ricorsuale è disciplinata dalla nuova normativa ( art. 132 cpv. 1 LTF ).</w:t>
      </w:r>
    </w:p>
    <w:p>
      <w:r>
        <w:rPr>
          <w:b/>
        </w:rPr>
        <w:t>E. 2</w:t>
      </w:r>
    </w:p>
    <w:p>
      <w:r>
        <w:t>Il Tribunale federale si pronuncia d'ufficio e con pieno potere d'esame sull'ammissibilità del rimedio esperito.</w:t>
      </w:r>
    </w:p>
    <w:p>
      <w:r>
        <w:rPr>
          <w:b/>
        </w:rPr>
        <w:t>E. 2.1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 DTF 124 III 44 consid. 1a/aa, 229 consid. 2b), con un valore litigioso superiore a fr. 30'000.-- (art. 74 cpv. 1 let. b LTF), il ricorso risulta ricevibile.</w:t>
      </w:r>
    </w:p>
    <w:p>
      <w:r>
        <w:rPr>
          <w:b/>
        </w:rPr>
        <w:t>E. 2.2</w:t>
      </w:r>
    </w:p>
    <w:p>
      <w:r>
        <w:t>Y.________SA assevera l'inammissibilità del ricorso per il motivo ch'esso è stato presentato nei confronti di X.________ SA, allorquando la sentenza impugnata è stata emanata nei confronti di A.________ e, appunto, Y.________SA.</w:t>
      </w:r>
    </w:p>
    <w:p>
      <w:r>
        <w:t>A questo proposito nell'allegato di replica il ricorrente rileva aver sempre in buona fede ritenuto quale sua legittima interlocutrice - sia per le problematiche relative al contratto di lavoro sia per il diritto alle prestazioni d'indennità giornaliera - l'ex datrice di lavoro X.________ SA, la quale ha peraltro dato seguito alla sua corrispondenza senza mai sollevare alcuna obiezione.</w:t>
      </w:r>
    </w:p>
    <w:p>
      <w:r>
        <w:rPr>
          <w:b/>
        </w:rPr>
        <w:t>E. 2.2.1</w:t>
      </w:r>
    </w:p>
    <w:p>
      <w:r>
        <w:t>Dalla lettura dell'incarto emerge che vi è in effetti una certa confusione in merito alle parti in causa. La responsabilità di questa situazione non va però ascritta all'attore bensì all'autorità di primo grado e, soprattutto, alla stessa Y.________SA.</w:t>
      </w:r>
    </w:p>
    <w:p>
      <w:r>
        <w:t>Nella petizione introdotta il 21 novembre 2006 A.________ ha infatti indicato chiaramente, quale parte convenuta, l'ex datrice di lavoro X.________ SA. Ciononostante l'autorità adita ha notificato la petizione a Y.________SA, la quale si è costituita in giudizio, introducendo sia la risposta di causa che la duplica senza nulla eccepire.</w:t>
      </w:r>
    </w:p>
    <w:p>
      <w:r>
        <w:t>Dinanzi al Tribunale federale A.________ ha nuovamente indicato X.________ SA quale controparte. Il Tribunale federale ha pertanto notificato il ricorso a questa società. La risposta è stata tuttavia introdotta da Y.________SA. E, pur precisando che si tratta di due persone giuridiche autonome e indipendenti, è Y.________SA che fa valere la carenza di legittimazione passiva di X.________ SA.</w:t>
      </w:r>
    </w:p>
    <w:p>
      <w:r>
        <w:rPr>
          <w:b/>
        </w:rPr>
        <w:t>E. 2.2.2</w:t>
      </w:r>
    </w:p>
    <w:p>
      <w:r>
        <w:t>In simili circostanze sarebbe iniquo dichiarare il ricorso inammissibile perché la parte ivi menzionata quale opponente non corrisponde a quella indicata nel giudizio impugnato; Y.________ non può trarre alcun beneficio dalla confusione che lei stessa ha contribuito a ingenerare nel ricorrente.</w:t>
      </w:r>
    </w:p>
    <w:p>
      <w:r>
        <w:t>La questione non necessita comunque di venir ulteriormente approfondita giacché il ricorso deve in ogni caso venire respinto.</w:t>
      </w:r>
    </w:p>
    <w:p>
      <w:r>
        <w:rPr>
          <w:b/>
        </w:rPr>
        <w:t>E. 3</w:t>
      </w:r>
    </w:p>
    <w:p>
      <w:r>
        <w:t>Con il ricorso in materia civile può essere fatta valere la violazione del diritto così come determinato dagli art. 95 e 96 LTF .</w:t>
      </w:r>
    </w:p>
    <w:p>
      <w:r>
        <w:rPr>
          <w:b/>
        </w:rPr>
        <w:t>E. 3.1</w:t>
      </w:r>
    </w:p>
    <w:p>
      <w:r>
        <w:t>Il Tribunale federale applica il diritto d'ufficio ( art. 106 cpv. 1 LTF ). Esso non è vincolato dai motivi indicati nel ricorso né dal valore giuridico attribuito ai fatti dall'autorità cantonale; il Tribunale federale può dunque accogliere un ricorso per motivi diversi da quelli di cui si prevale la parte che ricorre, così come può respingerlo adottando un'argomentazione giuridica differente da quella esposta nel giudizio impugnato (cfr. DTF 130 III 136 consid. 1.4 pag. 140).</w:t>
      </w:r>
    </w:p>
    <w:p>
      <w:r>
        <w:t>Ciononostante, tenuto conto dell'esigenza di motivazione posta dall' art. 42 cpv. 1 e 2 LTF - che, se disattesa, può comportare l'inammissibilità del gravame ( art. 108 cpv. 1 lett. b LTF ) - in linea di principio il Tribunale federale esamina solamente le censure adeguatamente sollevate; non è tenuto a chinarsi su tutte le questioni giuridiche che si pongono, come farebbe un'autorità di prima istanza.</w:t>
      </w:r>
    </w:p>
    <w:p>
      <w:r>
        <w:rPr>
          <w:b/>
        </w:rPr>
        <w:t>E. 3.2</w:t>
      </w:r>
    </w:p>
    <w:p>
      <w:r>
        <w:t>In linea di massima, il Tribunale federale fonda il suo ragionamento giuridico sui fatti così come accertati dall'autorità inferiore ( art. 105 cpv. 1 LTF ); può scostarsi dall'accertamento dei fatti dell'autorità inferiore solo se è stato svolto in modo manifestamente inesatto o in violazione del diritto ai sensi dell'art. 95 ( art. 105 cpv. 2 LTF ). Incombe alla parte che intende scostarsi dalla fattispecie contenuta nella sentenza impugnata addurre, con un'argomentazione circostanziata, il motivo che la induce a ritenere adempiute le condizioni di una delle eccezioni previste dall' art. 105 cpv. 2 LTF ; altrimenti non si può tener conto di una fattispecie diversa da quella esposta nella decisione impugnata (cfr. DTF 130 III 136 consid. 1.4 pag. 140 con rinvii). Infine, possono essere addotti nuovi fatti e nuovi mezzi di prova soltanto se ne dà motivo la decisione dell'autorità inferiore ( art. 99 cpv. 1 LTF ).</w:t>
      </w:r>
    </w:p>
    <w:p>
      <w:r>
        <w:rPr>
          <w:b/>
        </w:rPr>
        <w:t>E. 4</w:t>
      </w:r>
    </w:p>
    <w:p>
      <w:r>
        <w:t>Prima di esaminare il ricorso appare utile rammentare brevemente il contesto in cui si inserisce l'attuale vertenza, concernente un'assicurazione collettiva d'indennità giornaliere in caso di malattia, stipulata da un datore di lavoro a favore dei suoi dipendenti e sottoposta alla legge sul contratto d'assicurazione (LCA; RS 221.229.1).</w:t>
      </w:r>
    </w:p>
    <w:p>
      <w:r>
        <w:rPr>
          <w:b/>
        </w:rPr>
        <w:t>E. 4.1</w:t>
      </w:r>
    </w:p>
    <w:p>
      <w:r>
        <w:t>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 in: Krankentaggeldversicherung: Arbeits- und versicherungsrechtliche Aspekte, Zurigo 2007, pag. 109-131, in particolare pag. 111-115).</w:t>
      </w:r>
    </w:p>
    <w:p>
      <w:r>
        <w:t>La durata del pagamento del salario dipende dalla durata del rapporto di lavoro ( art. 324a cpv. 2 CO ; sui criteri usualmente applicati dai tribunali in questi casi cfr. 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 19-45, in particolare pag. 20).</w:t>
      </w:r>
    </w:p>
    <w:p>
      <w:r>
        <w:rPr>
          <w:b/>
        </w:rPr>
        <w:t>E. 4.2</w:t>
      </w:r>
    </w:p>
    <w:p>
      <w:r>
        <w:t>Queste norme configurano il regime legale di base a tutela del lavoratore, gli garantiscono una protezione minima alla quale non può essere derogato a suo svantaggio ( art. 362 cpv. 1 CO ; cfr. DTF 131 III 623 consid. 2.2 pag. 628).</w:t>
      </w:r>
    </w:p>
    <w:p>
      <w:r>
        <w:rPr>
          <w:b/>
        </w:rPr>
        <w:t>E. 4.3</w:t>
      </w:r>
    </w:p>
    <w:p>
      <w:r>
        <w:t>L' 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w:t>
      </w:r>
    </w:p>
    <w:p>
      <w:r>
        <w:t>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alla condizioni generali di assicurazione o a un altro documento tenuto a disposizione del lavoratore ( DTF 131 III 623 consid. 2.5.1 con numerosi riferimenti dottrinali).</w:t>
      </w:r>
    </w:p>
    <w:p>
      <w:r>
        <w:rPr>
          <w:b/>
        </w:rPr>
        <w:t>E. 4.4</w:t>
      </w:r>
    </w:p>
    <w:p>
      <w:r>
        <w:t>Già si è detto che nella pratica numerosi sono i datori di lavoro che - come nel caso qui in esame - stipulano un contratto d'assicurazione d'indennità giornaliere in caso di malattia, sottoposto alla LCA (Vincent Brulhart, L'assurance collective contre la perte de gain, Le droit social dans la pratique de l'entreprise, Questions choisies, Berna 2006, pag. 95-112, in particolare pag. 101).</w:t>
      </w:r>
    </w:p>
    <w:p>
      <w:r>
        <w:rPr>
          <w:b/>
        </w:rPr>
        <w:t>E. 4.4.1</w:t>
      </w:r>
    </w:p>
    <w:p>
      <w:r>
        <w:t>Il contratto stipulato dal datore di lavoro con l'assicurazione è un contratto a favore di terzi ( art. 112 CO ; Vincent Brulhart, op. cit., pag. 99). Il lavoratore non è parte al contratto, anche se ne è il beneficiario (Hans-Rudolf Müller, op. cit., pag. 30).</w:t>
      </w:r>
    </w:p>
    <w:p>
      <w:r>
        <w:t>Con la (valida) conclusione di un contratto di assicurazione malattia collettiva il datore di lavoro si libera dal suo obbligo di continuare a versare il salario ( DTF 120 V 38 consid. 3); gli subentra l'assicuratore, il quale non versa al lavoratore/assicurato il salario vero e proprio, dal quale andrebbero ancora dedotti i contributi sociali, bensì un'indennità giornaliera, esente da tali contributi (Adrian von Kaenel, op. cit., pag. 116).</w:t>
      </w:r>
    </w:p>
    <w:p>
      <w:r>
        <w:t>Il diritto alle prestazioni assicurative spetta per legge direttamente all'assicurato/lavoratore ( art. 87 LCA ; Hans-Rudolf Müller, op. cit., pag. 27, Vincent Brulhart, op. cit., pag. 102 seg.).</w:t>
      </w:r>
    </w:p>
    <w:p>
      <w:r>
        <w:rPr>
          <w:b/>
        </w:rPr>
        <w:t>E. 4.4.2</w:t>
      </w:r>
    </w:p>
    <w:p>
      <w:r>
        <w:t>L'assicurazione d'indennità giornaliere in caso di malattia può essere stipulata nella forma di un'assicurazione di somme o di un'assicurazione contro i danni.</w:t>
      </w:r>
    </w:p>
    <w:p>
      <w:r>
        <w:t>L'assicurazione di somme garantisce una prestazione che è stata definita al momento della conclusione del contratto e non dipende dal verificarsi di un pregiudizio economico: essa è dovuta non appena l'evento assicurato si sia verificato (sulla nozione di assicurazione di somme in relazione a un'assicurazione d'indennità giornaliere in caso di malattia cfr. in particolare la sentenza del 16 luglio 2007 nella causa 4A_168/2007 consid. 3.2.4 e 3.2.5, destinata a pubblicazione). L'assicurazione contro i danni mira invece a rimborsare il danno: in questo caso il versamento e la misura delle prestazioni dipendono dalla misura del pregiudizio economico effettivamente patito dall'assicurato. Nell'ambito dell'assicurazione di somme l'assicurato può cumulare le prestazioni dell'assicurazione con le pretese di risarcimento nei confronti di un eventuale responsabile ( art. 96 LCA ); nell'assicurazione contro i danni prevale invece il principio dell'indennizzo e la legge concede all'assicuratore un diritto di regresso nei confronti di un eventuale terzo responsabile ( art. 72 LCA ).</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dell'11 giugno 1998 nella causa 4C.83/1998 consid. 3c e 3d; Hans-Rudolf Müller, op. cit., pag. 29; Vincent Brulhart, op. cit., pag. 109 seg.).</w:t>
      </w:r>
    </w:p>
    <w:p>
      <w:r>
        <w:rPr>
          <w:b/>
        </w:rPr>
        <w:t>E. 5</w:t>
      </w:r>
    </w:p>
    <w:p>
      <w:r>
        <w:t>In concreto, l'interpretazione del contratto di assicurazione collettiva stipulato da X.________ SA con Y.________SA, e più in particolare delle CGA 2002 tipo A, ha condotto il giudice delegato del Tribunale delle assicurazioni a concludere che l'assicurazione collettiva d'indennità giornaliere in caso di malattia di cui ha beneficiato il ricorrente era un'assicurazione contro i danni, volta a coprire la perdita di salario in caso di malattia.</w:t>
      </w:r>
    </w:p>
    <w:p>
      <w:r>
        <w:rPr>
          <w:b/>
        </w:rPr>
        <w:t>E. 5.1</w:t>
      </w:r>
    </w:p>
    <w:p>
      <w:r>
        <w:t>Il ricorrente non critica il giudizio sul genere di assicurazione stipulata dall'ex datrice di lavoro, ma nega l'applicabilità delle CGA 2002 tipo A. Egli sostiene l'applicabilità delle CGA versione 1996, tipo B, che benché soggiacenti alla LCA avevano un contenuto sociale spiccato, in base al quale egli avrebbe avuto diritto al versamento integrale dell'importo di fr. 49'747.--, dilazionato nel tempo.</w:t>
      </w:r>
    </w:p>
    <w:p>
      <w:r>
        <w:t>Si tratta di un argomento privo di fondamento. Giovi rammentare che, di principio, le CGA rimangono applicabili per tutta la durata del contratto di assicurazione ch'esse regolano; nuove CGA sono applicabili ai contratti conclusi dopo la loro entrata in vigore (cfr. anche Jean-Luc Mercier, Le contrat d'assurance maladie perte de salaire selon la LCA, in: Colloques et journées d'étude 1999-2001, Lausanne 2002, pag. 781-830, in particolare pag. 804). Nella fattispecie, l'ex datrice di lavoro del ricorrente ha stipulato un contratto di assicurazione collettiva per il 2004 e uno per il 2005; entrambi rinviavano esplicitamente alle CGA 2002. I giudici cantonali hanno inoltre accertato che il ricorrente, tempestivamente informato della modifica delle CGA, non aveva manifestato nessuna reazione a questo riguardo. Dinanzi al Tribunale federale egli non contesta questo accertamento. Si concentra piuttosto sul peggioramento subito dai salariati con l'entrata in vigore delle CGA 2002 tipo A, ma dimentica che l'elemento di riferimento per valutare il contenuto di un contratto di assicurazione d'indennità giornaliere in caso di malattia non è il regime convenzionale precedente, bensì il regime legale di base previsto dall' art. 324a cpv. 1 e 2 CO , come esposto al consid. 4.3. Se il regime adottato mediante accordo scritto sancisce un ordinamento almeno equivalente per il lavoratore - ciò che in concreto non è contestato - esso è valido.</w:t>
      </w:r>
    </w:p>
    <w:p>
      <w:r>
        <w:rPr>
          <w:b/>
        </w:rPr>
        <w:t>E. 5.2</w:t>
      </w:r>
    </w:p>
    <w:p>
      <w:r>
        <w:t>Richiamandosi all' art. 62 LCA , il ricorrente ribadisce inoltre il diritto al rimborso dei costi medici non coperti altrimenti e dei contributi che il datore di lavoro versava per il pagamento premio per l'assicurazione cure mediche, per complessivi fr. 9'907.--.</w:t>
      </w:r>
    </w:p>
    <w:p>
      <w:r>
        <w:t>La sua richiesta è volta all'insuccesso. L' art. 62 LCA stabilisce che il valore di risarcimento dev'essere calcolato sulla base del valore che l'interesse assicurato aveva al momento in cui accadde il sinistro. Come osservato nella risposta al ricorso, in concreto il sinistro è l'incapacità lavorativa cagionata dalla malattia e l'interesse assicurato è la perdita di guadagno, determinata sulla base del salario netto percepito dal ricorrente al momento del sinistro, così come indicato nella sentenza impugnata. Nel contratto di assicurazione non è stata pattuita la copertura di altri costi, quali ad esempio le spese mediche non coperte altrimenti, né il ricorrente è in grado di dimostrare il contrario.</w:t>
      </w:r>
    </w:p>
    <w:p>
      <w:r>
        <w:t>Egli non può essere seguito nemmeno laddove sostiene che nel salario assicurato sarebbero inclusi i contributi versati dal datore di lavoro per il pagamento dei premi per l'assicurazione obbligatoria delle cure medico sanitarie all'assicuratore malattia. Contrariamente a quanto da lui asserito la sua affermazione non trova conforto nel contratto di lavoro né nelle condizioni d'impiego del 1° aprile 1999 e, in ogni caso, come rettamente ricordato dal giudice delegato del Tribunale cantonale, l' art. 8 OAVS esclude questi contributi dal salario soggetto ad AVS.</w:t>
      </w:r>
    </w:p>
    <w:p>
      <w:r>
        <w:rPr>
          <w:b/>
        </w:rPr>
        <w:t>E. 6</w:t>
      </w:r>
    </w:p>
    <w:p>
      <w:r>
        <w:t>Quanto appena esposto comporta la reiezione integrale del ricorso.</w:t>
      </w:r>
    </w:p>
    <w:p>
      <w:r>
        <w:t>Le spese giudiziarie vengono poste a carico del ricorrente, soccombente ( art. 66 cpv. 1 LTF ). Per quanto attiene alle ripetibili, va osservato che dinanzi al Tribunale federale l'opponente non si è avvalsa del patrocinio di un legale. Per costante giurisprudenza - valida anche dopo l'entrata in vigore della LTF - alla parte che non è patrocinata non viene di principio assegnata alcuna indennità per ripetibili della sede federale ( DTF 113 Ib 353 consid. 6b con rinvii). In via eccezionale può esserle accordata un'indennità per i disborsi e per l'attività svolta in relazione con il ricorso (art. 2 cpv. 1 della Tariffa delle spese ripetibili accordate alla controparte nelle cause davanti al Tribunale federale), a patto però che i costi siano rilevanti e dimostrati, ciò che non è il caso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