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4A_539/2017 vom 3. November 2017</w:t>
      </w:r>
    </w:p>
    <w:p>
      <w:r>
        <w:t>Bundesgericht, 2017-11-03, FR</w:t>
      </w:r>
    </w:p>
    <w:p>
      <w:r>
        <w:rPr>
          <w:b/>
        </w:rPr>
        <w:t xml:space="preserve">Quelle: </w:t>
      </w:r>
      <w:r>
        <w:t>https://mcp.opencaselaw.ch/entscheid/bger_4A_539_2017</w:t>
      </w:r>
    </w:p>
    <w:p>
      <w:r>
        <w:t>FR: TF 4A_539/2017 du 3 novembre 2017</w:t>
      </w:r>
    </w:p>
    <w:p>
      <w:r>
        <w:t>IT: TF 4A_539/2017 del 3 novembre 2017</w:t>
      </w:r>
    </w:p>
    <w:p>
      <w:pPr>
        <w:pStyle w:val="Heading2"/>
      </w:pPr>
      <w:r>
        <w:t>Erwägungen</w:t>
      </w:r>
    </w:p>
    <w:p>
      <w:r>
        <w:rPr>
          <w:b/>
        </w:rPr>
        <w:t>E. 1</w:t>
      </w:r>
    </w:p>
    <w:p>
      <w:r>
        <w:t>Selon la jurisprudence relative à l'art. 42 al. 1 et 2 de la loi fédérale sur le Tribunal fédéral (LTF), celui qui saisit le tribunal afin d'obtenir une somme d'argent doit articuler dans son mémoire des conclusions chiffrées ( ATF 134 III 235 ). Par une ordonnance incidente, le Tribunal civil a décidé de limiter son examen au principe de la responsabilité imputée au défendeur, sans administrer les preuves offertes par la demanderesse et destinées à établir le montant du dommage. Conformément à cette ordonnance, il a rendu un jugement « sur moyen séparé », ensuite confirmé par la Cour d'appel. Dans ce contexte, la demanderesse est recevable à réclamer que le Tribunal fédéral constate la responsabilité du défendeur dans son principe et qu'il renvoie la cause à la juridiction cantonale pour établir le montant du dommage et rendre une nouvelle décision.</w:t>
      </w:r>
    </w:p>
    <w:p>
      <w:r>
        <w:t>Pour le surplus, les conditions de recevabilité du recours en matière civile sont satisfaites, notamment à raison de la valeur litigieuse; celle-ci peut être estimée d'après les conclusions de la demande en justice.</w:t>
      </w:r>
    </w:p>
    <w:p>
      <w:r>
        <w:rPr>
          <w:b/>
        </w:rPr>
        <w:t>E. 2</w:t>
      </w:r>
    </w:p>
    <w:p>
      <w:r>
        <w:t>Il est constant que les parties se sont liées par un contrat de mandat et qu'en vertu de l' art. 398 al. 2 CO , le défendeur était responsable de la bonne et fidèle exécution de la mission convenue. En tant qu'il a mal exécuté cette mission, il est débiteur de dommages-intérêts selon l' art. 321e CO applicable par le renvoi de l' art. 398 al. 1 CO .</w:t>
      </w:r>
    </w:p>
    <w:p>
      <w:r>
        <w:t>En vertu de l' art. 321e al. 2 CO , l'objet du mandat et la diligence à attendre du mandataire se déterminent d'après le contrat des parties, tel que celles-ci l'ont conclu de manière expresse ou tacite conformément à l' art. 1er CO .</w:t>
      </w:r>
    </w:p>
    <w:p>
      <w:r>
        <w:t>Il est à cet égard constant, aussi, que le défendeur s'est chargé de conseiller et de représenter la demanderesse dans la procédure de divorce et dans les procédures de mesures provisoires entreprise par H.X.________ dès le 17 mars 1993.</w:t>
      </w:r>
    </w:p>
    <w:p>
      <w:r>
        <w:rPr>
          <w:b/>
        </w:rPr>
        <w:t>E. 3</w:t>
      </w:r>
    </w:p>
    <w:p>
      <w:r>
        <w:t>Selon la thèse de la demanderesse, le contrat obligeait aussi le défendeur à élucider les droits de sa cliente envers l'assurance-invalidité en relation avec les prestations qu'obtenait H.X.________, à renseigner la cliente à ce sujet, et à la renseigner, en outre, au sujet des prestations complémentaires à obtenir en sus des prestations de l'assurance-invalidité.</w:t>
      </w:r>
    </w:p>
    <w:p>
      <w:r>
        <w:t>La demanderesse n'a pas allégué et les autorités précédentes ont moins encore constaté que cette mission additionnelle fût convenue entre les parties.</w:t>
      </w:r>
    </w:p>
    <w:p>
      <w:r>
        <w:t>L'avocat défendeur aurait pu adopter une approche dynamique des services nécessaires ou simplement utiles à sa cliente; cela l'aurait conduit à attirer l'attention de la demanderesse sur son droit à des prestations de l'assurance-invalidité et à des prestations complémentaires, et à lui proposer son concours dans les démarches à entreprendre. Ce comportement hypothétique aurait pu et dû être compris comme une proposition d'étendre le mandat initial déjà convenu, autrement dit comme une offre aux termes des art. 3 et ss CO. La demanderesse l'aurait vraisemblablement acceptée, au moins tacitement. En réalité, cette offre n'est pas intervenue et elle n'a en conséquence pas pu être acceptée. Le mandat a ainsi conservé son étendue initiale. Il avait pour seul objet, on le rappelle, les procédures judiciaires matrimoniales qui divisaient les époux; ce mandat initial n'obligeait pas le défendeur à en proposer l'extension à une autre mission.</w:t>
      </w:r>
    </w:p>
    <w:p>
      <w:r>
        <w:t>L'inaction que la demanderesse reproche au défendeur peut paraître regrettable du point de vue de l'intérêt de cette cliente à un conseil davantage clairvoyant mais cette inaction n'en est pas pour autant un manquement aux devoirs contractuels du praticien. Elle n'engage donc pas sa responsabilité contractuelle et la demanderesse n'est pas fondée à réclamer des dommages-intérêts.</w:t>
      </w:r>
    </w:p>
    <w:p>
      <w:r>
        <w:rPr>
          <w:b/>
        </w:rPr>
        <w:t>E. 4</w:t>
      </w:r>
    </w:p>
    <w:p>
      <w:r>
        <w:t>Le recours se révèle privé de fondement, ce qui conduit à son rejet.</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la demanderesse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