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4A_538/2020 vom 23. November 2020</w:t>
      </w:r>
    </w:p>
    <w:p>
      <w:r>
        <w:t>Bundesgericht, 2020-11-23, DE</w:t>
      </w:r>
    </w:p>
    <w:p>
      <w:r>
        <w:rPr>
          <w:b/>
        </w:rPr>
        <w:t xml:space="preserve">Quelle: </w:t>
      </w:r>
      <w:r>
        <w:t>https://mcp.opencaselaw.ch/entscheid/bger_4A_538_2020</w:t>
      </w:r>
    </w:p>
    <w:p>
      <w:r>
        <w:t>FR: TF 4A_538/2020 du 23 novembre 2020</w:t>
      </w:r>
    </w:p>
    <w:p>
      <w:r>
        <w:t>IT: TF 4A_538/2020 del 23 novembre 2020</w:t>
      </w:r>
    </w:p>
    <w:p>
      <w:pPr>
        <w:pStyle w:val="Heading2"/>
      </w:pPr>
      <w:r>
        <w:t>Erwägungen</w:t>
      </w:r>
    </w:p>
    <w:p>
      <w:r>
        <w:rPr>
          <w:b/>
        </w:rPr>
        <w:t>E. 1</w:t>
      </w:r>
    </w:p>
    <w:p>
      <w:r>
        <w:t>Mit Urteil vom 26. August 2020 schrieb die Präsidentin des Sozialversicherungsgerichts des Kantons Basel-Stadt das von der Beschwerdegegnerin gegen die Beschwerdeführerin eingeleitete Verfahren ZV.2020.12 zufolge Rückzug der Klage als gegenstandslos ab. Sie merkte an, dass die Beschwerdegegnerin gegen die C.________ AG ein Verfahren eingeleitet habe, das unter der Verfahrensnummer ZV.2020.14 geführt werde. Sodann erkannte die Präsidentin, dass das Verfahren kostenlos sei und die "ausserordentlichen Kosten" im Verfahren ZV.2020.12 wettgeschlagen würden.</w:t>
      </w:r>
    </w:p>
    <w:p>
      <w:r>
        <w:t>Dagegen erhob die Beschwerdeführerin mit Eingabe vom 19. Oktober 2020 Beschwerde an das Bundesgericht. Sie beantragte das Folgende:</w:t>
      </w:r>
    </w:p>
    <w:p>
      <w:r>
        <w:t>"1. Im Erkanntnis des Urteils ZV.2020.12 der Präsidentin [des] Sozialversicherungsgerichts des Kantons Basel-Stadt sei folgende Passage aufzuheben: 'Die ausserordentlichen Kosten im Verfahren ZV.2020.12 werden wettgeschlagen'.</w:t>
      </w:r>
    </w:p>
    <w:p>
      <w:r>
        <w:rPr>
          <w:b/>
        </w:rPr>
        <w:t>E. 2</w:t>
      </w:r>
    </w:p>
    <w:p>
      <w:r>
        <w:t>Die Sache sei zu neuer Entscheidung über die Entschädigungs- und Kostenfolgen an die Vorinstanz zurückzuweisen. Die Vorinstanz sei anzuweisen, im Rahmen der Prozesskostenverlegung eine angemessene Parteientschädigung zu Folge Klagerückzugs festzusetzen.</w:t>
      </w:r>
    </w:p>
    <w:p>
      <w:r>
        <w:rPr>
          <w:b/>
        </w:rPr>
        <w:t>E. 3</w:t>
      </w:r>
    </w:p>
    <w:p>
      <w:r>
        <w:t>Falls auf die vorliegende Eingabe nicht im Rahmen einer Beschwerde in Zivilsachen eingetreten werden kann, sei diese vom angerufenen Gericht als subsidiäre Verfassungsbeschwerde zu beurteilen.</w:t>
      </w:r>
    </w:p>
    <w:p>
      <w:r>
        <w:rPr>
          <w:b/>
        </w:rPr>
        <w:t>E. 4</w:t>
      </w:r>
    </w:p>
    <w:p>
      <w:r>
        <w:t>Die Beschwerde erweist sich demnach als offensichtlich unzulässig, weshalb auf sie im Verfahren nach Art. 108 Abs. 1 lit. a BGG nicht einzutreten ist.</w:t>
      </w:r>
    </w:p>
    <w:p>
      <w:r>
        <w:rPr>
          <w:b/>
        </w:rPr>
        <w:t>E. 5</w:t>
      </w:r>
    </w:p>
    <w:p>
      <w:r>
        <w:t>Bei diesem Ausgang des Verfahrens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