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4A_538/2008 vom 2. Februar 2009</w:t>
      </w:r>
    </w:p>
    <w:p>
      <w:r>
        <w:t>Bundesgericht, 2009-02-02, DE</w:t>
      </w:r>
    </w:p>
    <w:p>
      <w:r>
        <w:rPr>
          <w:b/>
        </w:rPr>
        <w:t xml:space="preserve">Quelle: </w:t>
      </w:r>
      <w:r>
        <w:t>https://mcp.opencaselaw.ch/entscheid/bger_4A_538_2008</w:t>
      </w:r>
    </w:p>
    <w:p>
      <w:r>
        <w:t>FR: TF 4A_538/2008 du 2 février 2009</w:t>
      </w:r>
    </w:p>
    <w:p>
      <w:r>
        <w:t>IT: TF 4A_538/2008 del 2 febbraio 2009</w:t>
      </w:r>
    </w:p>
    <w:p>
      <w:pPr>
        <w:pStyle w:val="Heading2"/>
      </w:pPr>
      <w:r>
        <w:t>Erwägungen</w:t>
      </w:r>
    </w:p>
    <w:p>
      <w:r>
        <w:rPr>
          <w:b/>
        </w:rPr>
        <w:t>E. 1</w:t>
      </w:r>
    </w:p>
    <w:p>
      <w:r>
        <w:t>Mit dem selbständig eröffneten Beschluss über die Zuständigkeit des Schiedsgerichts in einer Zivilsache hat das Kantonsgericht als letzte kantonale Instanz einen grundsätzlich der Beschwerde zugänglichen Zwischenentscheid gefällt ( Art. 92 Abs. 1 BGG ). Bei Zwischenentscheiden folgt der Rechtsweg jenem der Hauptsache. Diese betrifft eine Forderung aus Werkvertrag, mithin eine Zivilsache, deren Streitwert den Betrag von Fr. 30'000.-- übersteigen muss, damit Beschwerdefähigkeit gegeben ist (vgl. Art. 51 Abs. 1 lit. c, Art. 72 Abs. 1 und Art. 74 Abs. 1 lit. b BGG ).</w:t>
      </w:r>
    </w:p>
    <w:p>
      <w:r>
        <w:rPr>
          <w:b/>
        </w:rPr>
        <w:t>E. 1.1</w:t>
      </w:r>
    </w:p>
    <w:p>
      <w:r>
        <w:t>Die Höhe der Klageforderung geht weder aus dem Entscheid des Schieds- noch aus jenem des Obergerichts hervor. Der Beschwerdeführer behauptet einzig, die Streitwertgrenze gemäss Art. 74 Abs. 1 BGG werde erreicht, ohne den Streitwert zu bezeichnen. Hingegen zeigt die Beschwerdegegnerin in ihrer dem Beschwerdeführer zugestellten Vernehmlassung durch Einreichung ihres Schreibens vom 14. August 2006 an den Beschwerdeführer, ihres Antrags an das Kantonsgericht zur Bestellung eines Schiedsgerichts vom 19. September 2006 sowie ihrer Eingabe vom 11. Dezember 2006 an die Schiedsrichter auf, dass der Streitwert Fr. 29'853.60 beträgt. Dasselbe ergibt sich aus der Berechnung des ausstehenden Betrages in der Eingabe der Beschwerdegegnerin an das Schiedsgericht vom 24. Mai 2007 (Ziff. 3, S. 5). Entgegen der Behauptung des Beschwerdeführers liegt somit der Streitwert unter der für die Zulässigkeit der Beschwerde in Zivilsachen massgeblichen Grenze von Fr. 30'000.--.</w:t>
      </w:r>
    </w:p>
    <w:p>
      <w:r>
        <w:rPr>
          <w:b/>
        </w:rPr>
        <w:t>E. 1.2</w:t>
      </w:r>
    </w:p>
    <w:p>
      <w:r>
        <w:t>Erreicht der Streitwert den massgebenden Betrag nicht, ist die Beschwerde in Zivilsachen dennoch zulässig, wenn sich eine Rechtsfrage von grundsätzlicher Bedeutung stellt ( Art. 74 Abs. 2 lit. a BGG ). Dieser Begriff ist sehr restriktiv auszulegen. Soweit es bei der aufgeworfenen Frage lediglich um die Anwendung von Grundsätzen der Rechtsprechung auf einen konkreten Fall geht, handelt es sich nicht um eine Rechtsfrage von grundsätzlicher Bedeutung ( BGE 134 III 115 E. 1.2 S. 117; 133 III 493 E. 1.1 und 1.2 S. 495 f.). Die Voraussetzung von Art. 74 Abs. 2 lit. a BGG ist hingegen erfüllt, wenn ein allgemeines Interesse besteht, dass eine umstrittene Frage höchstrichterlich geklärt wird, um eine einheitliche Anwendung und Auslegung des Bundesrechts herbeizuführen und damit Rechtssicherheit herzustellen. Zu berücksichtigen ist dabei auch, ob die Streitwertgrenze im Zusammenhang mit der umstrittenen Rechtsfrage überhaupt je erreicht werden kann ( BGE 134 III 115 E. 1.2 S. 117 f.). In der Beschwerdeschrift ist gemäss Art. 42 Abs. 2 BGG auszuführen, inwiefern eine Frage von grundsätzlicher Bedeutung vorliegt ( BGE 133 III 439 E. 2.2.2.1 S. 442, 645 E. 2.4 S. 648). Es kann nicht Aufgabe des Bundesgerichts sein, selbst nach den Gründen zu suchen (vgl. Botschaft vom 28. Februar 2001 zur Totalrevision der Bundesrechtspflege, BBl 2001 4295 Ziff. 4.1.2.4, Art. 39 Abs. 2 Satz 2).</w:t>
      </w:r>
    </w:p>
    <w:p>
      <w:r>
        <w:rPr>
          <w:b/>
        </w:rPr>
        <w:t>E. 1.3</w:t>
      </w:r>
    </w:p>
    <w:p>
      <w:r>
        <w:t>In der Beschwerde wird geltend gemacht, diese betreffe mit der Frage, ob es möglich und zulässig sei, "dass eine nicht bevollmächtigte Person in einem Werkvertrag zu Lasten des unrechtmässig Vertretenen auf den verfassungsmässig geschützten Wohnsitzgerichtsstand gemäss Art. 30 Abs. 2 BV verzichten kann", zweifellos eine solche von grundsätzlicher Bedeutung im Sinne von Art. 74 Abs. 2 lit. a BGG . Damit zeigt der Beschwerdeführer indessen in keiner Weise auf, dass die Beantwortung der sich vorliegend tatsächlich stellenden Rechtsfrage, ob die Genehmigung des durch einen Dritten in fremdem Namen abgeschlossenen Vertrages auch die darin figurierende Schiedsklausel erfasst, nicht nach bereits durch die Rechtsprechung etablierten Grundsätzen des Stellvertretungsrechts beurteilt werden kann. Gestützt auf die Begründung des Beschwerdeführers ( Art. 42 Abs. 2 BGG ) ist keine Rechtsfrage von grundsätzlicher Bedeutung ersichtlich.</w:t>
      </w:r>
    </w:p>
    <w:p>
      <w:r>
        <w:rPr>
          <w:b/>
        </w:rPr>
        <w:t>E. 2</w:t>
      </w:r>
    </w:p>
    <w:p>
      <w:r>
        <w:t>Aus den dargelegten Gründen steht dem Beschwerdeführer das von ihm ergriffene Rechtsmittel der Beschwerde in Zivilsachen nicht zur Verfügung, weshalb nicht darauf einzutreten ist. Eine Konversion in eine subsidiäre Verfassungsbeschwerde kommt nicht in Frage, zumal der Beschwerdeführer keinerlei hinreichend begründete Rüge der Verletzung von Verfassungsrecht erhebt. Bei diesem Verfahrensausgang wird der Beschwerdeführer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