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4A_537/2021 vom 18. Januar 2022</w:t>
      </w:r>
    </w:p>
    <w:p>
      <w:r>
        <w:t>Bundesgericht, 2022-01-18, FR</w:t>
      </w:r>
    </w:p>
    <w:p>
      <w:r>
        <w:rPr>
          <w:b/>
        </w:rPr>
        <w:t xml:space="preserve">Quelle: </w:t>
      </w:r>
      <w:r>
        <w:t>https://mcp.opencaselaw.ch/entscheid/bger_4A_537_2021</w:t>
      </w:r>
    </w:p>
    <w:p>
      <w:r>
        <w:t>FR: TF 4A_537/2021 du 18 janvier 2022</w:t>
      </w:r>
    </w:p>
    <w:p>
      <w:r>
        <w:t>IT: TF 4A_537/2021 del 18 gennaio 2022</w:t>
      </w:r>
    </w:p>
    <w:p>
      <w:pPr>
        <w:pStyle w:val="Heading2"/>
      </w:pPr>
      <w:r>
        <w:t>Erwägungen</w:t>
      </w:r>
    </w:p>
    <w:p>
      <w:r>
        <w:rPr>
          <w:b/>
        </w:rPr>
        <w:t>E. 1</w:t>
      </w:r>
    </w:p>
    <w:p>
      <w:r>
        <w:t>Les conditions de recevabilité du recours en matière civile sont réalisées sur le principe, notamment celles afférentes à la valeur litigieuse minimale de 15'000 fr. ( art. 74 al. 1 let. a LTF ) et au délai de recours ( art. 100 al. 1 LTF ).</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Si la critique ne satisfait pas à ces exigences, les allégations relatives à un état de fait qui s'écarterait de celui de la décision attaquée ne pourront pas être prises en considération ( ATF 140 III 16 consid. 1.3.1 et les références citées).</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L'arbitraire ne résulte pas du seul fait qu'une autre solution serait envisageable, voire préférable ( ATF 136 III 552 consid. 4.2).</w:t>
      </w:r>
    </w:p>
    <w:p>
      <w:r>
        <w:rPr>
          <w:b/>
        </w:rPr>
        <w:t>E. 3.1</w:t>
      </w:r>
    </w:p>
    <w:p>
      <w:r>
        <w:t>La recourante reproche d'abord aux juges cantonaux d'avoir omis de compléter l'état de fait sur un point, à savoir que le dernier incident reproché à l'employée remontait au 12 juin 2017, alors qu'ils en étaient requis aux chiffres 2 et 3 de son appel. Ce faisant, ils auraient commis un déni de justice; s'il fallait en déduire un rejet implicite du grief, ils auraient violé son droit à obtenir une décision motivée sur ce point ( art. 29 al. 1 et 2 Cst. ).</w:t>
      </w:r>
    </w:p>
    <w:p>
      <w:r>
        <w:rPr>
          <w:b/>
        </w:rPr>
        <w:t>E. 3.2</w:t>
      </w:r>
    </w:p>
    <w:p>
      <w:r>
        <w:t>Quoi qu'il en soit, on doit constater que les juges cantonaux ont précisément traité le grief auquel se réfère la recourante. Aux chiffres 2 et 3 de son appel, elle avait uniquement requis que l'état de fait soit complété avec les chiffres 11 à 13 des déterminations formulées par l'intimée le 27 mars 2019, lesquels comprenaient notamment le point précité. La cour cantonale a exactement complété l'état de fait en ce sens, en expliquant pourquoi (cf. ch. 10a et consid. 3.2 de l'arrêt attaqué; let. Ba du présent arrêt). Dès lors, la recourante ne saurait reprocher à la cour cantonale une quelconque violation du droit.</w:t>
      </w:r>
    </w:p>
    <w:p>
      <w:r>
        <w:t>La recourante demande encore un complètement de l'état de fait sur ce point. Cela n'aurait quoi qu'il en soit aucune influence sur l'issue du litige (cf. consid. 5</w:t>
      </w:r>
    </w:p>
    <w:p>
      <w:r>
        <w:t>infra ).</w:t>
      </w:r>
    </w:p>
    <w:p>
      <w:r>
        <w:rPr>
          <w:b/>
        </w:rPr>
        <w:t>E. 4</w:t>
      </w:r>
    </w:p>
    <w:p>
      <w:r>
        <w:t>Ensuite, la recourante se prévaut d'une appréciation des preuves arbitraire et d'une violation de l' art. 6 LEg , dans la mesure où les juges cantonaux ont retenu qu'elle n'avait pas rendu suffisamment vraisemblable le caractère discriminatoire du congé.</w:t>
      </w:r>
    </w:p>
    <w:p>
      <w:r>
        <w:rPr>
          <w:b/>
        </w:rPr>
        <w:t>E. 4.1.1</w:t>
      </w:r>
    </w:p>
    <w:p>
      <w:r>
        <w:t>Selon l' art. 3 LEg , il est interdit de discriminer les travailleurs à raison du sexe, soit directement, soit indirectement, notamment en se fondant sur leur état civil ou leur situation familiale ou, s'agissant de femmes, leur grossesse (al. 1). L'interdiction de toute discrimination s'applique notamment à la résiliation des rapports de travail (al. 2).</w:t>
      </w:r>
    </w:p>
    <w:p>
      <w:r>
        <w:t>Aux termes de l' art. 6 LEg , l'existence d'une discrimination est présumée pour autant que la personne qui s'en prévaut la rende vraisemblable. Cette disposition utilise deux institutions indépendantes l'une de l'autre: la présomption de fait et le degré de la preuve (cf. FABIENNE HOHL, Procédure civile, t. I, 2e éd. 2016, nos 1652 ss).</w:t>
      </w:r>
    </w:p>
    <w:p>
      <w:r>
        <w:t>S'agissant du degré de la preuve, la discrimination doit être rendue simplement vraisemblable (question de droit fédéral en lien avec l' art. 6 LEg ). Il s'agit donc d'un assouplissement de la preuve par rapport à la certitude découlant du principe général de l' art. 8 CC . La preuve au degré de la simple vraisemblance ne nécessite pas que le juge soit convaincu du bien-fondé des arguments de la partie demanderesse; il doit simplement disposer d'indices objectifs suffisants pour que les faits allégués présentent une certaine vraisemblance, sans devoir exclure qu'il puisse en aller différemment ( ATF 144 II 65 consid. 4.2.2; 142 II 49 consid. 6.2; 130 III 145 consid. 4.2).</w:t>
      </w:r>
    </w:p>
    <w:p>
      <w:r>
        <w:t>Le juge utilise la présomption de fait, en ce sens qu'il déduit d'indices objectifs (faits prémisses) le fait de la discrimination (fait présumé; question de fait), au degré de la simple vraisemblance.</w:t>
      </w:r>
    </w:p>
    <w:p>
      <w:r>
        <w:t>Lorsqu'une discrimination liée au sexe est ainsi présumée au degré de la vraisemblance (cf. art. 6 LEg ), il appartient alors à l'employeur d'apporter la preuve stricte du contraire ( ATF 144 II 65 consid. 4.2.1; 142 II 49 consid. 6.2; 130 III 145 consid. 5.2).</w:t>
      </w:r>
    </w:p>
    <w:p>
      <w:r>
        <w:rPr>
          <w:b/>
        </w:rPr>
        <w:t>E. 4.1.2</w:t>
      </w:r>
    </w:p>
    <w:p>
      <w:r>
        <w:t>L' art. 6 LEg</w:t>
      </w:r>
    </w:p>
    <w:p>
      <w:r>
        <w:t>in fine précise que l'allègement du fardeau de la preuve s'applique notamment à la résiliation des rapports de travail. En particulier, si l'employée parvient à rendre vraisemblable que le motif du congé réside dans sa grossesse ou sa maternité, il incombera à l'employeur de prouver que cet élément n'a pas été un facteur déterminant dans sa décision de mettre un terme au contrat, en d'autres termes, que l'employée aurait été licenciée même si elle n'avait pas été enceinte. Pour ce faire, l'employeur pourra chercher à établir que le licenciement a été donné pour un motif objectif, sans lien avec la grossesse ou la maternité, comme par exemple une réorganisation de l'entreprise ou l'insuffisance des prestations de l'intéressée (arrêts 4A_208/2021 du 16 juillet 2021 consid. 3.2; 4A_59/2019 du 12 mai 2020 consid. 3; 4A_507/2013 du 27 janvier 2014 consid. 4; 4A_395/2010 du 25 octobre 2010 consid. 5.2).</w:t>
      </w:r>
    </w:p>
    <w:p>
      <w:r>
        <w:rPr>
          <w:b/>
        </w:rPr>
        <w:t>E. 4.2</w:t>
      </w:r>
    </w:p>
    <w:p>
      <w:r>
        <w:t>La recourante soutient que le seul fait qu'elle a été licenciée le premier jour ouvrable suivant la fin du délai de protection constituait un indice suffisant permettant d'admettre la vraisemblance du caractère discriminatoire du congé. A cela s'ajoutaient d'autres indices, notamment le fait que les appréciations écrites de son travail étaient positives et qu'une ancienne collègue avait été licenciée le dernier jour du délai de protection. De plus, la cour cantonale a admis que les déclarations de l'intimée avaient varié sur un point central du litige, avant de retenir que la version de l'intimée, selon laquelle le licenciement était déjà planifié avant l'annonce de la grossesse, n'était pas établie. La cour cantonale aurait ainsi dû admettre l'existence de sérieux indices rendant vraisemblable le caractère discriminatoire du congé. Elle s'était livrée à une appréciation des preuves arbitraire et avait violé l' art. 6 LEg en donnant une portée excessivement restrictive à la notion de vraisemblance. Elle avait également méconnu la portée de cette disposition en permettant à B.________ de rapporter la preuve par simple vraisemblance, alors que celle-ci est réservée à l'employée.</w:t>
      </w:r>
    </w:p>
    <w:p>
      <w:r>
        <w:rPr>
          <w:b/>
        </w:rPr>
        <w:t>E. 4.3</w:t>
      </w:r>
    </w:p>
    <w:p>
      <w:r>
        <w:t>La recourante doit être suivie lorsqu'elle soutient que seule l'employée, et non l'employeur, dispose d'un allègement du fardeau de la preuve. Dans une première étape, le juge doit déterminer si l'employée a rendu la discrimination vraisemblable. Dans l'hypothèse où le juge considère que tel est le cas, l'employeur doit apporter la preuve du contraire. Ces éléments doivent être clairement distingués. En l'espèce, le raisonnement de la cour cantonale prête à confusion, surtout lorsqu'elle retient que l'intention de l'intimée de licencier l'employée le 12 juin 2017 était " rendue suffisamment vraisemblable pour faire obstacle à un renversement du fardeau de la preuve " en faveur de l'employée.</w:t>
      </w:r>
    </w:p>
    <w:p>
      <w:r>
        <w:t>Au vu de certains des indices objectifs fournis par la recourante - elle a été licenciée le premier jour ouvrable suivant la fin du délai de protection, ses appréciations écrites figurant dans son dossier sont positives et l'intimée a varié dans ses déclarations s'agissant de sa décision de résilier les rapports de travail - et du degré de la preuve requis, soit la simple vraisemblance, il convient d'admettre la présomption de discrimination. Ainsi, il appartenait à l'intimée d'apporter la preuve du contraire (cf. consid. 5</w:t>
      </w:r>
    </w:p>
    <w:p>
      <w:r>
        <w:t>infra ).</w:t>
      </w:r>
    </w:p>
    <w:p>
      <w:r>
        <w:rPr>
          <w:b/>
        </w:rPr>
        <w:t>E. 5.1</w:t>
      </w:r>
    </w:p>
    <w:p>
      <w:r>
        <w:t>La recourante dénonce ensuite une violation des art. 3 et 5 LEg . Elle soutient que l'intimée ne lui reprochait aucun incident particulier après le 12 juin 2017. Or, à cette date, elle n'avait pas pris la décision de la licencier, à tout le moins, cette volonté n'était pas établie selon la cour cantonale. Dans ces conditions, l'intimée avait échoué à démontrer l'existence de motifs objectifs de licenciement. En outre, l'exclusion de politique discriminatoire évoquée par la cour cantonale n'était pas pertinente.</w:t>
      </w:r>
    </w:p>
    <w:p>
      <w:r>
        <w:rPr>
          <w:b/>
        </w:rPr>
        <w:t>E. 5.2</w:t>
      </w:r>
    </w:p>
    <w:p>
      <w:r>
        <w:t>La cour cantonale a mentionné que la recourante n'avait pas rendu vraisemblable l'existence d'une discrimination, mais elle se fonde, avec les premiers juges, sur les déclarations des parties et des témoins pour évoquer que la recourante aurait été licenciée même si elle n'avait pas annoncé sa grossesse. La cour cantonale se base en particulier sur le relâchement notable de l'effort de la recourante dès la fin de sa période d'essai, son manque d'intégration dans l'équipe, sa propension à vouloir imposer son point de vue tel qu'illustré par l'épisode de la saucisse et sa susceptibilité importante pouvant créer des difficultés au sein de l'équipe. Ainsi, malgré le raisonnement confus de la cour cantonale et l'utilisation de termes impropres (cf. consid. 4.3</w:t>
      </w:r>
    </w:p>
    <w:p>
      <w:r>
        <w:t>supra ), on doit admettre qu'elle a en réalité considéré que l'intimée avait apporté la preuve d'un licenciement non discriminatoire.</w:t>
      </w:r>
    </w:p>
    <w:p>
      <w:r>
        <w:t>La recourante ne parvient pas à démontrer que l'appréciation des preuves opérée par la cour cantonale serait arbitraire. En particulier, le fait qu'il n'a pas été établi que l'intimée avait pris la décision de licencier la recourante le 12 juin 2017 et que l'intimée a admis ne pas lui reprocher d'autres incidents après cette date n'est pas suffisant. Il n'est pas arbitraire de considérer que les manquements constatés et le caractère particulier de la recourante constituaient un motif objectif ayant cristallisé l'idée d'un licenciement après le 12 juin 2017, sans lien avec sa grossesse, même sans l'apparition d'autres incidents particuliers les quelques jours où elle a encore travaillé après cette date.</w:t>
      </w:r>
    </w:p>
    <w:p>
      <w:r>
        <w:t>Enfin, la recourante relève à juste titre que l'interdiction de la discrimination fondée sur le sexe s'applique également aux discriminations non intentionnelles ( ATF 127 III 207 consid. 5b). Toutefois, l'absence de politique discriminatoire au sein de l'intimée n'est qu'un facteur, parmi d'autres, permettant d'admettre que la cour cantonale n'a pas sombré dans l'arbitraire en retenant que la grossesse de la recourante n'a joué aucun rôle dans son licenciement.</w:t>
      </w:r>
    </w:p>
    <w:p>
      <w:r>
        <w:t>Les griefs de la recourante en lien avec la LEg doivent dès lors être rejetés.</w:t>
      </w:r>
    </w:p>
    <w:p>
      <w:r>
        <w:rPr>
          <w:b/>
        </w:rPr>
        <w:t>E. 6</w:t>
      </w:r>
    </w:p>
    <w:p>
      <w:r>
        <w:t>La recourante dénonce enfin une appréciation arbitraire des preuves et une violation de l' art. 41 al. 1 CO , par renvoi de l' art. 99 al. 3 CO , dans la mesure où les juges cantonaux ont refusé d'admettre ses conclusions tendant au remboursement de ses frais d'avocat avant procès.</w:t>
      </w:r>
    </w:p>
    <w:p>
      <w:r>
        <w:rPr>
          <w:b/>
        </w:rPr>
        <w:t>E. 6.1</w:t>
      </w:r>
    </w:p>
    <w:p>
      <w:r>
        <w:t>Les frais d'avocat avant procès peuvent compter parmi les postes du dommage en droit de la responsabilité civile, mais uniquement s'ils étaient justifiés, nécessaires et adéquats pour faire valoir la créance en dommages-intérêts, et seulement dans la mesure où ils ne sont pas couverts par les dépens ( ATF 131 II 121 consid. 2.1; 117 II 394 consid. 3a; arrêts 4A_692/2015 du 1er mars 2017 consid. 6.1.2 non publié in ATF 143 III 206 ; 4A_264/2015 du 10 août 2015 consid. 3 et les arrêts cités). Les frais d'avocat avant l'ouverture du procès et les circonstances justifiant leur indemnisation sont des faits qu'il incombe à la partie demanderesse d'alléguer en la forme prescrite et en temps utile (arrêts 4A_264/2015 précité consid. 4.2.2; 4A_77/2011 du 20 décembre 2011 consid. 5.2). La partie qui demande le remboursement de ses frais d'avocat avant procès doit ainsi exposer de manière étayée les circonstances justifiant que les dépenses invoquées soient considérées comme un poste du dommage selon le droit de la responsabilité civile, et donc qu'ils étaient justifiés, nécessaires et adéquats et qu'ils ne sont pas couverts par les dépens (arrêt précité 4A_264/2015 consid. 4.2.2).</w:t>
      </w:r>
    </w:p>
    <w:p>
      <w:r>
        <w:rPr>
          <w:b/>
        </w:rPr>
        <w:t>E. 6.2</w:t>
      </w:r>
    </w:p>
    <w:p>
      <w:r>
        <w:t>L'employée a été mise au bénéfice de l'assistance judiciaire devant le tribunal et la cour cantonale. Les juges cantonaux ont retenu que l'employée ne faisait pas la démonstration de la réalisation des conditions précitées nécessaires à une indemnisation de ses frais d'avocat avant procès. Elle avait produit une note d'honoraires de 2'072 fr. 10 portant sur des opérations réalisées du 30 juillet 2018 au 27 septembre 2018, soit juste avant l'introduction de la procédure. L'opération du 17 août 2018 faisait état d'un courrier adressé au tribunal, ce qui démontrait que la requête de conciliation était d'ores et déjà en préparation et que ces opérations devraient être couvertes par les dépens qui lui seraient, le cas échéant, alloués. En outre, l'employée n'avait apporté aucun élément pour démontrer que l'intervention d'un avocat était indispensable avant l'introduction de la procédure, la description des opérations figurant sur la note d'honoraires ne permettant pas de le constater.</w:t>
      </w:r>
    </w:p>
    <w:p>
      <w:r>
        <w:rPr>
          <w:b/>
        </w:rPr>
        <w:t>E. 6.3</w:t>
      </w:r>
    </w:p>
    <w:p>
      <w:r>
        <w:t>La recourante soutient qu'il ressort de l'arrêt attaqué que les frais de défense avant procès n'étaient pas couverts par les dépens, que son conseil et B.________ ont procédé à des échanges de courriers avant la saisine du tribunal, qu'elle était en incapacité de travail jusqu'au 31 août 2018 et qu'il était donc patent que le recours à un conseil était nécessaire afin de sauvegarder ses droits. Ce faisant, elle ne parvient pas à démontrer que la cour cantonale aurait sombré dans l'arbitraire en retenant qu'elle n'avait pas fait la démonstration de ce que les frais avant procès étaient justifiés, nécessaires, adéquats et non couverts par les dépens. Elle ne soutient d'ailleurs même pas avoir allégué ces éléments, puisqu'elle s'était contentée de transmettre sa liste des opérations. Pour ce motif déjà, ce grief doit être rejeté, pour autant qu'il soit recevable.</w:t>
      </w:r>
    </w:p>
    <w:p>
      <w:r>
        <w:rPr>
          <w:b/>
        </w:rPr>
        <w:t>E. 7</w:t>
      </w:r>
    </w:p>
    <w:p>
      <w:r>
        <w:t>En définitive, le recours doit être rejeté, dans la mesure où il est recevable.</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la Cour de céans était dépourvue de chances de succès, ce qui entraîne le rejet de la demande d'assistance judiciaire de la recourante. Celle-ci devra supporter les frais judiciaires ( art. 66 al. 1 LTF ), fixés selon le tarif réduit (art. 65 al. 4 let. b et c LTF). En revanche, elle n'aura pas à indemniser l'intimée, cette dernière n'ayant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