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4A_537/2016 vom 16. November 2016</w:t>
      </w:r>
    </w:p>
    <w:p>
      <w:r>
        <w:t>Bundesgericht, 2016-11-16, IT</w:t>
      </w:r>
    </w:p>
    <w:p>
      <w:r>
        <w:rPr>
          <w:b/>
        </w:rPr>
        <w:t xml:space="preserve">Quelle: </w:t>
      </w:r>
      <w:r>
        <w:t>https://mcp.opencaselaw.ch/entscheid/bger_4A_537_2016</w:t>
      </w:r>
    </w:p>
    <w:p>
      <w:r>
        <w:t>FR: TF 4A_537/2016 du 16 novembre 2016</w:t>
      </w:r>
    </w:p>
    <w:p>
      <w:r>
        <w:t>IT: TF 4A_537/2016 del 16 novembre 2016</w:t>
      </w:r>
    </w:p>
    <w:p>
      <w:pPr>
        <w:pStyle w:val="Heading2"/>
      </w:pPr>
      <w:r>
        <w:t>Erwägungen</w:t>
      </w:r>
    </w:p>
    <w:p>
      <w:r>
        <w:rPr>
          <w:b/>
        </w:rPr>
        <w:t>E. 1</w:t>
      </w:r>
    </w:p>
    <w:p>
      <w:r>
        <w:t>Il ricorso in materia civile è presentato dalla parte soccombente nella procedura cantonale ( art. 76 cpv. 1 lett. a LTF ), è tempestivo ( art. 100 cpv. 1 LTF ) ed è volto contro una sentenza finale ( art. 90 LTF ) emanata su ricorso dall'autorità ticinese di ultima istanza ( art. 75 LTF ) in una causa civile di natura pecuniaria con un valore litigioso ampiamente superiore alla soglia di fr. 15'000.-- fissata dall' art. 74 cpv. 1 lett. a LTF . Esso si rivela pertanto in linea di principio ammissibile.</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w:t>
      </w:r>
    </w:p>
    <w:p>
      <w:r>
        <w:t>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w:t>
      </w:r>
    </w:p>
    <w:p>
      <w:r>
        <w:t>La ricorrente lamenta una carente motivazione della sentenza impugnata, perché l'autorità inferiore ha ritenuto che non era necessario indicare i dettagli della procedura con cui l'inquilina aveva contestato la (prima) disdetta del 4 febbraio 2014. Essa afferma pure che l'accoglimento delle censure proposte in tale sede sull'onere di predisporre i lavori di preparazione avrebbe potuto influenzare la vertenza in esame.</w:t>
      </w:r>
    </w:p>
    <w:p>
      <w:r>
        <w:t>Ora la ricorrente pare misconoscere che l'obbligo di motivare le proprie decisioni codificato nell' art. 29 cpv. 2 Cost. non impone all'autorità di pronunciarsi su tutti gli argomenti sottopostile. Questa può occuparsi delle sole circostanze rilevanti per il giudizio, atte ad influire sulla decisione di merito. Una decisione risulta essere sufficientemente motivata, allorquando la parte interessata è messa nelle condizioni di rendersi conto della sua portata e di poter far uso con piena cognizione di causa dei rimedi di diritto a sua disposizione per impugnare la medesima dinanzi ad un'istanza giudiziaria superiore ( DTF 139 IV 179 consid. 2.2). Ora, nemmeno la ricorrente pretende che nella fattispecie ciò non sia il caso. Giova per il resto ricordare che una procedura di contestazione della disdetta ancora pendente non impone la sospensione di una procedura di espulsione basata sull' art. 257 CPC ( DTF 141 III 262 consid. 3.3).</w:t>
      </w:r>
    </w:p>
    <w:p>
      <w:r>
        <w:rPr>
          <w:b/>
        </w:rPr>
        <w:t>E. 4</w:t>
      </w:r>
    </w:p>
    <w:p>
      <w:r>
        <w:t>Giusta l' art. 257 cpv. 1 CPC il giudice accorda tutela giurisdizionale in procedura sommaria se i fatti sono incontestati o immediatamente comprovabili (lett. a) e la situazione giuridica è chiara (lett. b).</w:t>
      </w:r>
    </w:p>
    <w:p>
      <w:r>
        <w:rPr>
          <w:b/>
        </w:rPr>
        <w:t>E. 4.1</w:t>
      </w:r>
    </w:p>
    <w:p>
      <w:r>
        <w:t>La ricorrente incentra il suo gravame sulla tesi che, al momento della diffida, l'ente locato non le sarebbe ancora stato consegnato (essa indica di aver preso possesso dei luoghi unicamente nel mese di giugno 2015) e che per tale motivo l'obbligo di pagare le pigioni non sarebbe ancora sorto. Tuttavia con la sua argomentazione appellatoria essa non fa apparire arbitraria la constatazione dei tribunali ticinesi, secondo cui la consegna degli spazi locati sarebbe invece avvenuta alla data prevista dal contratto. La conduttrice ha infatti pacificamente versato la pigione per tre mesi e ha provveduto, come peraltro riconosce nell'impugnativa all'esame, al suo deposito durante un ulteriore lasso di tempo. Invero essa contesta che da tale fatto possa essere dedotta la consegna dell'ente locato, affermando di aver corrisposto le pigioni iniziali perché " non era a conoscenza del fatto che se la consegna dei locali non è avvenuta in modo corretto, l'obbligo di pagare la pigione non corre ". Così facendo essa conferma però l'accertamento dell'autorità inferiore secondo cui la cosa locata è stata consegnata alla conduttrice, ma che quest'ultima la considera difettosa. Il ricorso si rivela pertanto inammissibile su questo punto.</w:t>
      </w:r>
    </w:p>
    <w:p>
      <w:r>
        <w:rPr>
          <w:b/>
        </w:rPr>
        <w:t>E. 4.2</w:t>
      </w:r>
    </w:p>
    <w:p>
      <w:r>
        <w:t>In virtù dell' art. 258 CO il conduttore che accetta la cosa, nonostante difetti che ne escludono o diminuiscono notevolmente l'idoneità all'uso cui è destinata e persiste nel chiedere il perfetto adempimento del contratto, può far valere soltanto i diritti che gli competerebbero in caso di difetti della cosa sopravvenuti durante la locazione ( art. 259a-259i CO ).</w:t>
      </w:r>
    </w:p>
    <w:p>
      <w:r>
        <w:t>Ora fra questi diritti non vi è quello di trattenere la pigione. Non soccorre la ricorrente nemmeno il fatto di aver sollevato la compensazione delle pigioni reclamate con quelle che afferma aver indebitamente pagato. Infatti, il conduttore che ritiene di avere il diritto a una riduzione della pigione o a un risarcimento danni a causa dei difetti della cosa locata ha unicamente la possibilità di depositare la pigione, l' art. 82 CO non essendo in questi casi applicabile, poiché l' art. 259g CO costituisce una lex specialis per rapporto a tale norma (sentenze 4A_140/2014/ 4A_250/2014 del 6 agosto 2014 consid. 5. 2 e 4A_472/2008 del 26 gennaio 2009 consid. 4.2.3, RtiD 2009 II pag. 681).</w:t>
      </w:r>
    </w:p>
    <w:p>
      <w:r>
        <w:rPr>
          <w:b/>
        </w:rPr>
        <w:t>E. 4.3</w:t>
      </w:r>
    </w:p>
    <w:p>
      <w:r>
        <w:t>Ricordato che la ricorrente non solleva alcuna censura contro la diffida di pagamento e nemmeno nega di non aver versato le pigioni reclamate con quest'ultima, da quanto precede discende che i presupposti per accordare una tutela giurisdizionale nei casi manifesti erano in concreto dati.</w:t>
      </w:r>
    </w:p>
    <w:p>
      <w:r>
        <w:rPr>
          <w:b/>
        </w:rPr>
        <w:t>E. 5</w:t>
      </w:r>
    </w:p>
    <w:p>
      <w:r>
        <w:t>Il ricorso si rivela pertanto, nella misura in cui è ammissibile, infondato e come tale va respinto. Con l'evasione del gravame la domanda di conferimento dell'effetto sospensivo è divenuta caduca. Le spese e le ripetibili seguono l'esito del ricorso (art. 66 cpv. 1 e 68 cpv. 1 LTF). Atteso tuttavia che l'opponente è unicamente stata invitata a esprimersi sulla domanda di effetto sospensivo le è attribuita un'indennità ridotta ( art. 68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