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4A_536/2024 vom 10. März 2025</w:t>
      </w:r>
    </w:p>
    <w:p>
      <w:r>
        <w:t>Bundesgericht, 2025-03-10, DE</w:t>
      </w:r>
    </w:p>
    <w:p>
      <w:r>
        <w:rPr>
          <w:b/>
        </w:rPr>
        <w:t xml:space="preserve">Quelle: </w:t>
      </w:r>
      <w:r>
        <w:t>https://mcp.opencaselaw.ch/entscheid/bger_4A_536_2024</w:t>
      </w:r>
    </w:p>
    <w:p>
      <w:r>
        <w:t>FR: TF 4A_536/2024 du 10 mars 2025</w:t>
      </w:r>
    </w:p>
    <w:p>
      <w:r>
        <w:t>IT: TF 4A_536/2024 del 10 marzo 2025</w:t>
      </w:r>
    </w:p>
    <w:p>
      <w:pPr>
        <w:pStyle w:val="Heading2"/>
      </w:pPr>
      <w:r>
        <w:t>Erwägungen</w:t>
      </w:r>
    </w:p>
    <w:p>
      <w:r>
        <w:rPr>
          <w:b/>
        </w:rPr>
        <w:t>E. 1</w:t>
      </w:r>
    </w:p>
    <w:p>
      <w:r>
        <w:t>Die Sachurteilsvoraussetzungen sind zwar erfüllt und geben zu keinen Bemerkungen Anlass. Wie noch zu zeigen sein wird, genügt der Beschwerdeführer aber den Begründungsanforderungen nicht, die an eine Beschwerde in Zivilsachen gestellt werden.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Diesen Begründungsanforderungen genügt der Beschwerdeführer nicht. Er verkennt, dass das Bundesgericht auch bei der Beurteilung von Beschwerden gegen Urteile der als einzige kantonale Instanz entscheidenden Handelsgerichte keine Appellationsinstanz ist.</w:t>
      </w:r>
    </w:p>
    <w:p>
      <w:r>
        <w:rPr>
          <w:b/>
        </w:rPr>
        <w:t>E. 3.1</w:t>
      </w:r>
    </w:p>
    <w:p>
      <w:r>
        <w:t>Er rügt insbesondere eine Verletzung von Art. 41 und Art. 55 OR , Art. 2, Art. 3 und Art. 9 UWG sowie von Art. 57 und Art. 88 ZPO . Seine Ausführungen zum deliktischen Schadenersatzanspruch (Klagebegehren 1), zum Feststellungsbegehren 2a und 2b und zum Eventualbegehren (Beseitigungs- und Unterlassungsbegehren) erschöpfen sich aber im Wesentlichen in der Darlegung seines eigenen Standpunkts, ohne dass er sich rechtsgenüglich mit den Erwägungen vor Vorinstanz auseinandersetzt, und ohne dass er hinreichend aufzeigt, inwiefern diese Bundesrecht verletzt haben soll (Erwägung 2.1). Darauf ist nicht einzutreten.</w:t>
      </w:r>
    </w:p>
    <w:p>
      <w:r>
        <w:rPr>
          <w:b/>
        </w:rPr>
        <w:t>E. 3.2</w:t>
      </w:r>
    </w:p>
    <w:p>
      <w:r>
        <w:t>Das gilt auch, wenn der Beschwerdeführer im Zusammenhang mit dem von ihm geltend gemachten deliktischen Schadenersatzanspruch ausführlich ausländische Entscheide wiedergibt und vorbringt, seine angebliche Schadenskonstellation sei dort bestätigt worden. Bereits die Vorinstanz ging auf die von ihm im kantonalen Verfahren angeführten ausländischen Entscheide ein und zeigte auf, worin der Unterschied zum schweizerischen Recht liegt. Vor Bundesgericht setzt sich der Beschwerdeführer mit den diesbezüglichen Erwägungen der Vorinstanz nicht hinreichend auseinander, noch zeigt er nachvollziehbar auf (Erwägung 2.1), inwiefern der Vorinstanz eine Verletzung von schweizerischem Recht vorzuwerfen wäre.</w:t>
      </w:r>
    </w:p>
    <w:p>
      <w:r>
        <w:rPr>
          <w:b/>
        </w:rPr>
        <w:t>E. 3.3</w:t>
      </w:r>
    </w:p>
    <w:p>
      <w:r>
        <w:t>Soweit er Beschwerdeführer rügt, die Vorinstanz habe das Recht auf Beweis verletzt, gehen seine Vorbringen ins Leere. Da die Vorinstanz zum Schluss kam, dass es an rechtsgenüglichen Behauptungen fehle, brauchte sie die von ihm anerbotenen Beweismittel nicht abzunehmen. Auch darauf ist nicht weiter einzugehen. Das Gleiche gilt, wenn der Beschwerdeführer mehrfach eine Verletzung von Art. 8 ZGB , Art. 152 ZPO und Art. 29 Abs. 2 BV rügt, ohne aber rechtsgenüglich darzulegen (Erwägung 2.1), inwiefern die Vorinstanz diese Bestimmungen verletzt haben soll.</w:t>
      </w:r>
    </w:p>
    <w:p>
      <w:r>
        <w:rPr>
          <w:b/>
        </w:rPr>
        <w:t>E. 3.4</w:t>
      </w:r>
    </w:p>
    <w:p>
      <w:r>
        <w:t>Die Vorinstanz legte dar, weshalb ihr die Kognition zur Prüfung des Leistungsbegehrens fehle, insoweit der Beschwerdeführer die Bezahlung von Fr. 30'484.20 auf einen Gewinnherausgabeanspruch und eventualiter auf einen Anspruch aus ungerechtfertigter Bereicherung stütze. Als selbsttragende Eventualerwägung erwog die Vorinstanz in der Folge, dass selbst wenn eine Prüfung dieser Ansprüche erfolgen könnte, die Ansprüche abzuweisen wären, weil der Beschwerdeführer auch hier seiner Behauptungs- und Substanziierungslast nicht rechtsgenüglich nachkomme. Es genüge insbesondere nicht, lediglich geltend zu machen, der Verletzergewinn betrage mindestens 25% der gesamten Entgelte, welche für das Fahrzeug geleistet worden seien, und um eine Schätzung zu ersuchen. Auch eine angebliche Bereicherung der Beschwerdegegnerin sei nicht rechtsgenüglich behauptet worden.</w:t>
      </w:r>
    </w:p>
    <w:p>
      <w:r>
        <w:t>Diese Erwägungen lässt der Beschwerdeführer intakt, indem er vor Bundesgericht lediglich seinen bereits vor den Vorinstanz vorgetragenen Standpunkt wiederholt, dass der Verletzergewinn mindestens Fr. 30'484.20 bzw. 25% des verminderten Werts des Fahrzeugs betrage. Er zeigt auch nicht mit präzisen Aktenhinweisen auf, dass er entgegen der Vorinstanz in seinen vorinstanzlichen Rechtsschriften hinreichende Ausführungen zum Verletzergewinn oder der Bereicherung gemacht hätte und die Vorinstanz diesbezüglich den Sachverhalt unvollständig festgestellt hätte (Erwägung 2.2), noch zeigt er rechtsgenüglich auf, dass die Vorinstanz die Anforderungen an Behauptung und Substanziierung bundesrechtwidrig überspannt hätte (Erwägung 2.1). Damit trägt bereits die Eventualerwägung der Vorinstanz. Bei dieser Sachlage braucht auf die Rügen des Beschwerdeführers nicht weiter eingegangen zu werden, Art. 5 Ziff. 3 LugÜ sei verletzt worden, weil die Vorinstanz auf den Anspruch auf Gewinnherausgabe mangels internationaler örtlicher Zuständigkeit nicht eingetreten sei.</w:t>
      </w:r>
    </w:p>
    <w:p>
      <w:r>
        <w:rPr>
          <w:b/>
        </w:rPr>
        <w:t>E. 4</w:t>
      </w:r>
    </w:p>
    <w:p>
      <w:r>
        <w:t>Da die Beschwerde nach dem Ausgeführten nicht gutgeheissen wird, erübrigt es sich, auf die Vorbringen der Beschwerdegegnerin einzugehen, welche diese als Eventualstandpunkt für den Fall der Gutheissung der Beschwerde geltend macht.</w:t>
      </w:r>
    </w:p>
    <w:p>
      <w:r>
        <w:rPr>
          <w:b/>
        </w:rPr>
        <w:t>E. 5</w:t>
      </w:r>
    </w:p>
    <w:p>
      <w:r>
        <w:t>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