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4A_536/2023 vom 13. März 2024</w:t>
      </w:r>
    </w:p>
    <w:p>
      <w:r>
        <w:t>Bundesgericht, 2024-03-13, DE</w:t>
      </w:r>
    </w:p>
    <w:p>
      <w:r>
        <w:rPr>
          <w:b/>
        </w:rPr>
        <w:t xml:space="preserve">Quelle: </w:t>
      </w:r>
      <w:r>
        <w:t>https://mcp.opencaselaw.ch/entscheid/bger_4A_536_2023</w:t>
      </w:r>
    </w:p>
    <w:p>
      <w:r>
        <w:t>FR: TF 4A_536/2023 du 13 mars 2024</w:t>
      </w:r>
    </w:p>
    <w:p>
      <w:r>
        <w:t>IT: TF 4A_536/2023 del 13 marzo 2024</w:t>
      </w:r>
    </w:p>
    <w:p>
      <w:pPr>
        <w:pStyle w:val="Heading2"/>
      </w:pPr>
      <w:r>
        <w:t>Erwägungen</w:t>
      </w:r>
    </w:p>
    <w:p>
      <w:r>
        <w:rPr>
          <w:b/>
        </w:rPr>
        <w:t>E. 1</w:t>
      </w:r>
    </w:p>
    <w:p>
      <w:r>
        <w:t>Das Bundesgericht prüft von Amtes wegen und mit freier Kognition, ob ein Rechtsmittel zulässig ist ( Art. 29 Abs. 1 BGG ; BGE 148 IV 155 E. 1.1 ; 145 I 121 E. 1; 143 III 140 E. 1).</w:t>
      </w:r>
    </w:p>
    <w:p>
      <w:r>
        <w:rPr>
          <w:b/>
        </w:rPr>
        <w:t>E. 1.1</w:t>
      </w:r>
    </w:p>
    <w:p>
      <w:r>
        <w:t>Die Beschwerde betrifft eine Zivilsache ( Art. 72 BGG ), sie richtet sich gegen einen Endentscheid ( Art. 90 BGG ) des Bundespatentgerichts ( Art. 75 Abs. 1 BGG ), die Beschwerdeführerin ist mit ihren Anträgen nicht durchgedrungen ( Art. 76 Abs. 1 BGG ), ein Streitwert ist nicht erforderlich ( Art. 74 Abs. 2 lit. e BGG ) und die Beschwerdefrist ist eingehalten ( Art. 100 Abs. 1 BGG ).</w:t>
      </w:r>
    </w:p>
    <w:p>
      <w:r>
        <w:t>Auf die Beschwerde ist - unter Vorbehalt einer hinreichenden Begründung ( Art. 42 Abs. 2 und Art. 106 Abs. 2 BGG )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 BGE 134 II 349 E. 3 ; 133 I 1 E. 5.5). Willkür liegt nicht schon dann vor, wenn eine andere Lösung ebenfalls vertretbar oder gar vorzuziehen wäre, sondern nur, wenn der angefochtene Entscheid im Ergebnis offensichtlich unhaltbar ist, mit der tatsächlichen Situation in klarem Widerspruch steht, eine Norm oder einen unumstrittenen Rechtsgrundsatz krass verletzt oder in stossender Weise dem Gerechtigkeitsgedanken zuwiderläuft ( BGE 144 II 281 E. 3.6.2; 141 III 564 E. 4.1; 140 III 16 E. 2.1; je mit Hinweisen). Stützt sich der angefochtene Entscheid auf mehrere selbstständige Begründungen, so muss sich die Beschwerde zudem mit jeder einzelnen auseinandersetzen, sonst wird darauf nicht eingetreten ( BGE 142 III 364 E. 2.4 mit Hinweisen; vgl. auch BGE 143 IV 40 E. 3.4).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1.4</w:t>
      </w:r>
    </w:p>
    <w:p>
      <w:r>
        <w:t>Die Beschwerde ist innert der Beschwerdefrist vollständig begründet einzureichen ( Art. 42 Abs. 1 BGG ). Kommt es zu einem zweiten Schriftenwechsel, darf die beschwerdeführende Partei die Replik nicht dazu verwenden, ihre Beschwerde zu ergänzen oder zu verbessern (vgl. BGE 132 I 42 E 3.3.4). Die Replik ist nur zu Darlegungen zu verwenden, zu denen die Ausführungen in der Vernehmlassung eines anderen Verfahrensbeteiligten Anlass geben (vgl. BGE 135 I 19 E. 2.2).</w:t>
      </w:r>
    </w:p>
    <w:p>
      <w:r>
        <w:t>Soweit die Beschwerdeführerin in ihrer Replik darüber hinausgeht, können ihre Ausführungen nicht berücksichtigt werden.</w:t>
      </w:r>
    </w:p>
    <w:p>
      <w:r>
        <w:rPr>
          <w:b/>
        </w:rPr>
        <w:t>E. 2</w:t>
      </w:r>
    </w:p>
    <w:p>
      <w:r>
        <w:t>Die Beschwerdeführerin beanstandet einleitend, die Vorinstanz habe im Urteilsdispositiv fälschlicherweise festgehalten, dass die Klage vollumfänglich abgewiesen werde, was offensichtlich falsch sei, da die Vorinstanz zum Schluss gekommen sei, dass es der Beschwerdeführerin im Zusammenhang mit den Feststellungsbegehren an einem Feststellungsinteresse mangle.</w:t>
      </w:r>
    </w:p>
    <w:p>
      <w:r>
        <w:t>Anhand des Aufbaus des Dispositivs des angefochtenen Urteils wird jedoch klar, dass die Vorinstanz auf die Rechtsbegehren Nr. 1-52 (Feststellungsbegehren) nicht eintrat (Dispositiv-Ziffer 3) und die Klage demnach lediglich insoweit abwies (Dispositiv-Ziffer 4), als sie auf die Klagebegehren eintrat (Leistungsbegehren). Entsprechend ist es nicht erforderlich, das vorinstanzliche Dispositiv zu korrigieren. Die Beschwerdeführerin hätte daran auch kein Rechtsschutzinteresse. Bezeichnenderweise führt sie im gleichen Zusammenhang selber aus, die Vorinstanz habe ihre Leistungsbegehren abgewiesen und sei auf die Feststellungsbegehren nicht eingetreten.</w:t>
      </w:r>
    </w:p>
    <w:p>
      <w:r>
        <w:t>Die Rüge ist unbegründet.</w:t>
      </w:r>
    </w:p>
    <w:p>
      <w:r>
        <w:rPr>
          <w:b/>
        </w:rPr>
        <w:t>E. 3</w:t>
      </w:r>
    </w:p>
    <w:p>
      <w:r>
        <w:t>Die Beschwerdeführerin rügt, die Vorinstanz habe ihr Fachwissen nicht offengelegt, sodass die Parteien dazu hätten Stellung nehmen können, worin eine Verletzung von Art. 183 Abs. 3 ZPO zu erblicken sei.</w:t>
      </w:r>
    </w:p>
    <w:p>
      <w:r>
        <w:rPr>
          <w:b/>
        </w:rPr>
        <w:t>E. 3.1</w:t>
      </w:r>
    </w:p>
    <w:p>
      <w:r>
        <w:t>Sie bringt vor, die Vorinstanz habe Art. 183 Abs. 3 ZPO verletzt, indem die Parteien keine Gelegenheit gehabt hätten, zum möglicherweise im Spruchkörper in der Person von Fachrichter Peter Rigling vorhandenen einschlägigen Fachwissen Stellung zu nehmen. Das Gericht habe das allenfalls bei Peter Rigling vorhandene Fachwissen im Zusammenhang mit den sich im zu beurteilenden Fall stellenden Fragen den Parteien nicht offengelegt. Richter Tobias Bremi, der das Fachrichtervotum verfasst hat, verfüge für die zu beurteilenden sehr speziellen technischen Sachverhalte im Bereich IPC-Klasse H04 nicht über die nötige technische Sachkunde und sei deshalb nicht die geeignete Person, das eigene Fachwissen des Gerichts den Parteien offenzulegen. Fachrichter Rigling, der aufgrund seiner Ausbildung wohl tatsächlich über eigenes einschlägiges Fachwissen verfüge und dieses gemäss den Ausführungen des Gerichts möglicherweise auch in die Urteilsberatung eingebracht habe, habe sein eigenes Fachwissen in Verletzung von Art. 183 Abs. 3 ZPO den Parteien nicht offengelegt bzw. nicht offenlegen können, weil bereits Tobias Bremi ein Fachrichtervotum verfasst habe. Damit verstosse das angefochtene Urteil gegen Art. 183 Abs. 3 ZPO und sei allein schon deshalb aufzuheben und an die Vorinstanz zurückzuweisen.</w:t>
      </w:r>
    </w:p>
    <w:p>
      <w:r>
        <w:rPr>
          <w:b/>
        </w:rPr>
        <w:t>E. 3.2</w:t>
      </w:r>
    </w:p>
    <w:p>
      <w:r>
        <w:t>Die Vorinstanz erwog, dass die den Streitpatenten zugrunde liegende Technologie für einen promovierten physikalischen Chemiker durchaus verständlich sei. Zudem wies sie darauf hin, dass sich die von der Beschwerdeführerin konkret geübte Kritik am Fachrichtervotum auf die Rechtsanwendung und nicht das technische Verständnis des referierenden Richters beziehe.</w:t>
      </w:r>
    </w:p>
    <w:p>
      <w:r>
        <w:t>Damit setzt sich die Beschwerdeführerin vor Bundesgericht nicht hinreichend auseinander. Sie bringt lediglich in allgemeiner Weise vor, der mit dem Fachrichtervotum betraute Richter Tobias Bremi verfüge im zu beurteilenden Fall nicht über die nötige technische Sachkunde, zeigt jedoch nicht konkret auf, hinsichtlich welcher Fragen ein Gerichtsgutachten erforderlich gewesen wäre. Ebenso wenig legt sie dar, auf welches konkrete Fachwissen sich die Vorinstanz gestützt haben soll, das den Parteien nicht bereits mit dem Fachrichtervotum bekanntgemacht worden wäre und das nach Art. 183 Abs. 3 ZPO und Art. 37 Abs. 3 PatGG (SR 173.41) eigens hätte offengelegt werden müssen (vgl. Urteile 4A_581/2020 vom 26. März 2021 E. 4.2; 4A_609/2019 vom 16. Juli 2020 E. 10.3.3, nicht publ. in BGE 146 III 403 ).</w:t>
      </w:r>
    </w:p>
    <w:p>
      <w:r>
        <w:t>Die Rüge, die Vorinstanz habe Art. 183 Abs. 3 ZPO verletzt, ist unbegründet.</w:t>
      </w:r>
    </w:p>
    <w:p>
      <w:r>
        <w:rPr>
          <w:b/>
        </w:rPr>
        <w:t>E. 4</w:t>
      </w:r>
    </w:p>
    <w:p>
      <w:r>
        <w:t>Die Beschwerdeführerin wirft der Vorinstanz im Zusammenhang mit der vorinstanzlichen Prüfung der Rechtsbeständigkeit der Streitpatente in verschiedener Hinsicht eine offensichtlich unrichtige bzw. aktenwidrige Sachverhaltsfeststellung ( Art. 97 Abs. 1 BGG ) sowie eine Verletzung des rechtlichen Gehörs ( Art. 29 Abs. 2 BV ) vor.</w:t>
      </w:r>
    </w:p>
    <w:p>
      <w:r>
        <w:rPr>
          <w:b/>
        </w:rPr>
        <w:t>E. 4.1.1</w:t>
      </w:r>
    </w:p>
    <w:p>
      <w:r>
        <w:t>Der Anspruch auf rechtliches Gehör ( Art. 29 Abs. 2 BV ) beinhaltet das Recht der betroffenen Partei, in einem Verfahren, das in ihre Rechtsstellung eingreift, mit rechtzeitig und formgültig angebotenen Beweisanträgen gehört zu werden, soweit diese erhebliche Tatsachen betreffen und nicht offensichtlich beweisuntauglich sind ( BGE 134 I 140 E. 5.3 ; 131 I 153 E. 3 ; 124 I 241 E. 2; je mit Hinweisen). Das Recht auf Beweis ist zudem in Art. 152 ZPO gesetzlich vorgesehen und wird auch aus Art. 8 ZGB abgeleitet (Urteile 4A_570/2022 vom 16. Mai 2023 E. 3.1.2; 4A_11/2022 vom 27. Juni 2022 E. 3.4.1; 4A_265/2021 vom 27. Oktober 2021 E. 3.1.1).</w:t>
      </w:r>
    </w:p>
    <w:p>
      <w:r>
        <w:rPr>
          <w:b/>
        </w:rPr>
        <w:t>E. 4.1.2</w:t>
      </w:r>
    </w:p>
    <w:p>
      <w:r>
        <w:t>Willkür liegt nach der Rechtsprechung nicht schon dann vor, wenn eine andere Lösung ebenfalls vertretbar oder gar vorzuziehen wäre, sondern nur, wenn der angefochtene Entscheid offensichtlich unhaltbar ist, in klarem Widerspruch zur tatsächlichen Situation steht, eine Norm oder einen unumstrittenen Rechtsgrundsatz krass verletzt oder in stossender Weise dem Gerechtigkeitsgedanken zuwiderläuft ( BGE 144 II 281 E. 3.6.2; 141 III 564 E. 4.1; 140 III 16 E. 2.1; je mit Hinweisen). Das Bundesgericht hebt einen Entscheid nur auf, wenn er nicht bloss in der Begründung, sondern auch im Ergebnis unhaltbar ist ( BGE 141 III 564 E. 4.1 mit Hinweisen).</w:t>
      </w:r>
    </w:p>
    <w:p>
      <w:r>
        <w:t>Aktenwidrigkeit liegt vor, wenn sich das Gericht infolge Versehens mit den Akten in Widerspruch gesetzt hat, sei es, dass es Aktenstellen übersehen oder ihnen einen anderen als den wirklichen Inhalt beigemessen hat, sei es, dass es irrig davon ausgegangen ist, eine Tatsache sei aktenmässig belegt, während die Akten in Wirklichkeit darüber keinen Aufschluss geben (vgl. BGE 131 I 45 E. 3.6 mit Hinweisen; Urteile 4A_545/2022 vom 24. März 2023 E. 2.5.1; 4A_265/2021 vom 27. Oktober 2021 E. 5.2; 4A_204/2021 vom 7. Juni 2021 E. 2.1.2).</w:t>
      </w:r>
    </w:p>
    <w:p>
      <w:r>
        <w:rPr>
          <w:b/>
        </w:rPr>
        <w:t>E. 4.2</w:t>
      </w:r>
    </w:p>
    <w:p>
      <w:r>
        <w:t>Die Vorinstanz erwog, die Beschwerdegegnerinnen hätten im Zusammenhang mit dem Streitpatent EP yyy geltend gemacht, die Gegenstände der unabhängigen Ansprüche 1, 20 und 25 seien im Rahmen des Prüfungsverfahrens unzulässig geändert worden und gingen über den Offenbarungsgehalt der ursprünglich eingereichten Unterlagen hinaus, und die Gegenstände gingen auch über den Inhalt der Stammanmeldung in der ursprünglich eingereichten Fassung hinaus. Nachdem die Beschwerdeführerin in der Replik in Form von Hilfsanträgen eine Vielzahl von eingeschränkten Fassungen von Streitpatent EP yyy und zusätzlich auch das Streitpatent EP xxx geltend gemacht habe, hätten die Beschwerdegegnerinnen ihre Vorbringen zur behaupteten Unzulässigkeit der Änderungen der erteilten Fassungen des Streitpatents EP yyy ergänzt und die Argumentation auch auf die fünf geänderten Fassungen der Ansprüche von Streitpatent EP yyy erweitert, auf die sich die Beschwerdeführerin im Rahmen der in der Replik gestellten Hilfsanträge bezog, namentlich auf die Hilfsanspruchssätze 1 bis 5. Beim mit der Replik neu geltend gemachten Streitpatent EP xxx machten die Beschwerdegegnerinnen unzulässige Änderungen an den erteilten Ansprüchen geltend.</w:t>
      </w:r>
    </w:p>
    <w:p>
      <w:r>
        <w:t>In diesem Zusammenhang sei hervorzuheben, dass die Beschwerdeführerin Ausführungsformen angreife, die angeblich die Merkmale der Hauptansprüche dieser Hilfsansprüche wie auch die Merkmale von spezifischen abhängigen Ansprüchen aufwiesen. Sie stütze sich aber ausschliesslich auf diese fünf Hilfsansprüche als inter partes Einschränkungen, ohne die Ansprüche weiter einzuschränken. Damit sei die Rechtsbeständigkeit nur für diese fünf Hilfsansprüche zu prüfen, wobei aus der fehlenden Rechtsbeständigkeit der jeweiligen unabhängigen Ansprüche folge, dass der gesamte Anspruchssatz nichtig sei, weil kein Antrag vorliege, dass die unabhängigen Ansprüche mit den (einem der) abhängigen Ansprüche zu kombinieren seien.</w:t>
      </w:r>
    </w:p>
    <w:p>
      <w:r>
        <w:rPr>
          <w:b/>
        </w:rPr>
        <w:t>E. 4.3</w:t>
      </w:r>
    </w:p>
    <w:p>
      <w:r>
        <w:t>Die Beschwerdeführerin vermag mit dem Verweis auf ihre Replik (BPatGer act. 43, S. 81-83) weder Aktenwidrigkeit noch Willkür aufzuzeigen. Abgesehen davon, dass sich ihre Ausführungen auf die Feststellungsbegehren (insb. Nr. 2-9) beziehen, auf welche die Vorinstanz mangels Rechtsschutzinteresses nicht eingetreten ist und wogegen sich in der Beschwerde keine hinreichend begründeten Rügen finden lassen, geht daraus entgegen der Ansicht der Beschwerdeführerin - zumindest unter Willkürgesichtspunkten - nicht hervor, dass sich die Beschwerdeführerin für den Fall der fehlenden Rechtsbeständigkeit der jeweiligen unabhängigen Ansprüche neben den formulierten fünf Hilfsansprüchen auf die Rechtsbeständigkeit einer Kombination der unabhängigen Ansprüche mit abhängigen Ansprüchen berufen hätte. Wie die Beschwerdegegnerinnen zutreffend einwenden, kann sich die Beschwerdeführerin ausschliesslich auf erteilte Ansprüche stützen oder auf solche, die im vorinstanzlichen Verfahren als Einschränkungen inter partes vorgebracht wurden, wozu einzig die fünf Hilfsanträge gehören. Unabhängig von der in der Beschwerde thematisierten Frage des Erfordernisses eines formellen Antrags hinsichtlich der massgebenden Patentansprüche war die Rechtsbeständigkeit der abhängigen Patentansprüche nicht Gegenstand des vorinstanzlichen Verfahrens (vgl. Urteil 4A_18/2017 vom 10. Juli 2017 E. 2.5.3).</w:t>
      </w:r>
    </w:p>
    <w:p>
      <w:r>
        <w:t>Die Rüge der Aktenwidrigkeit bzw. der Willkür ist ebenso unbegründet wie diejenige der Verletzung des rechtlichen Gehörs. Inwiefern der Vorinstanz eine Verletzung der Verhandlungsmaxime ( Art. 55 Abs. 1 ZPO ) vorzuwerfen sein soll, leuchtet nicht ein und wird in der Beschwerde auch nicht weiter begründet.</w:t>
      </w:r>
    </w:p>
    <w:p>
      <w:r>
        <w:rPr>
          <w:b/>
        </w:rPr>
        <w:t>E. 4.4</w:t>
      </w:r>
    </w:p>
    <w:p>
      <w:r>
        <w:t>Die Beschwerdeführerin beanstandet zudem die vorinstanzliche Erwägung, wonach das Merkmal "alphanumerische Zeichenfolge" nicht unmittelbar und eindeutig in den ursprünglichen Unterlagen der Teilanmeldung offenbart worden sei. Ihre Ausführungen stehen zwar unter dem Titel "Offensichtlich unrichtige Feststellung des Sachverhalts bzw. der aktenkundigen Ausführungen der Beschwerdeführerin", sie erhebt jedoch keine hinreichend begründeten Sachverhaltsrügen, sondern unterbreitet dem Bundesgericht unter Verweis auf verschiedene Aktenstücke des kantonalen Verfahrens ihre eigene Sicht der Dinge. Abgesehen davon trifft nicht zu, dass sich die Vorinstanz bei der Auslegung der Streitpatente "auf die genau verwendeten Wörter beschränkt" und nicht berücksichtigt hätte, was dem Fachmann insgesamt offenbart wurde. Vielmehr hat die Vorinstanz umfassend geprüft, was in den ursprünglich eingereichten Unterlagen - samt Ausführungsbeispielen - offenbart wurde.</w:t>
      </w:r>
    </w:p>
    <w:p>
      <w:r>
        <w:t>Die Beschwerdeführerin erhebt auch keine hinreichend begründeten Rügen, wenn sie ihre appellatorischen Vorbringen damit schliesst, die Vorinstanz habe Art. 58 Abs. 2 bzw. Art. 26 Abs. 1 lit. c des Bundesgesetzes vom 25. Juni 1954 über die Erfindungspatente (Patentgesetz, PatG; SR 232.14) und Art. 123 Abs. 2 sowie Art. 138 des Europäischen Patentübereinkommens vom 5. Oktober 1973, revidiert in München am 29. November 2000 (EPÜ 2000; SR 0.232.142) verletzt, indem sie von einer unzulässigen Änderung der Streitpatente ausgegangen sei.</w:t>
      </w:r>
    </w:p>
    <w:p>
      <w:r>
        <w:t>Entsprechendes gilt für die Ausführungen in der Beschwerde zur Zulässigkeit der Änderungen betreffend den Begriff "Zeichenfolge" bzw. "sprachlicher Ausdruck", denen sich keine hinreichend begründeten Sachverhaltsrügen entnehmen lassen.</w:t>
      </w:r>
    </w:p>
    <w:p>
      <w:r>
        <w:rPr>
          <w:b/>
        </w:rPr>
        <w:t>E. 5</w:t>
      </w:r>
    </w:p>
    <w:p>
      <w:r>
        <w:t>Die Beschwerdeführerin rügt, die Vorinstanz habe die erfolgten Änderungen der strittigen Patentansprüche zu Unrecht als unzulässig beurteilt und damit Art. 26 Abs. 1 lit. c und Art. 58 Abs. 2 PatG bzw. Art. 123 Abs. 2 und Art. 138 EPÜ 2000 verletzt.</w:t>
      </w:r>
    </w:p>
    <w:p>
      <w:r>
        <w:rPr>
          <w:b/>
        </w:rPr>
        <w:t>E. 5.1</w:t>
      </w:r>
    </w:p>
    <w:p>
      <w:r>
        <w:t>Nach Art. 26 Abs. 1 lit. c PatG stellt das Gericht die Nichtigkeit des Patents fest, wenn der Gegenstand des Patents über den Inhalt des Patentgesuchs in der für das Anmeldedatum massgebenden Fassung hinausgeht. Damit wurde der Nichtigkeitsgrund gemäss Art. 138 Abs. 1 lit. c EPÜ in das nationale Recht überführt ( BGE 147 III 337 E. 7.1.1 E. 340; 146 III 177 E. 2.1.1).</w:t>
      </w:r>
    </w:p>
    <w:p>
      <w:r>
        <w:t>Diese beiden Bestimmungen knüpfen ihrerseits - soweit es um das europäische Erteilungsverfahren geht - an Art. 123 Abs. 2 EPÜ an, worin die Zulässigkeit von Änderungen im Anmeldeverfahren eingeschränkt wird. Demgemäss dürfen die europäische Patentanmeldung und das europäische Patent nicht in der Weise geändert werden, dass ihr Gegenstand über den Inhalt der Anmeldung in der ursprünglich eingereichten Fassung hinausgeht (vgl. auch Art. 58 Abs. 2 PatG ). Mit dieser Regelung soll ausgeschlossen werden, dass der Patentinhaber seine Position verbessert, indem er für Gegenstände Schutz beansprucht, die in der ursprünglichen Anmeldung nicht offenbart worden sind. Dem Anmelder soll es verwehrt sein, nachträgliche Änderungen oder Weiterentwicklungen in das Anmeldeverfahren einzubringen und damit ein Schutzrecht zu erlangen, das am Stand der Technik zur Zeit der Anmeldung gemessen wird. Auch wird darauf hingewiesen, dass dieses Änderungsverbot im Dienst der Rechtssicherheit stehe: Die Öffentlichkeit soll nicht durch Patentansprüche überrascht werden, welche aufgrund der ursprünglich eingereichten Fassung nicht zu erwarten waren ( BGE 147 III 337 E. 7.1.1; 146 III 177 E. 2.1.1 und 2.1.2).</w:t>
      </w:r>
    </w:p>
    <w:p>
      <w:r>
        <w:t>Dabei ist unter dem "Gegenstand des Patents" nicht der "Schutzbereich" nach Art. 69 EPÜ zu verstehen, wie er durch die Patentansprüche bestimmt wird. Vielmehr geht es um den "Gegenstand" im Sinne von Art. 123 Abs. 2 EPÜ , also einschliesslich der gesamten Offenbarung in der Beschreibung und in den Zeichnungen. Gemäss der Rechtsprechung der Beschwerdekammern des EPA erlaubt diese Bestimmung eine Änderung nach der Anmeldung nur im Rahmen dessen, was der Fachmann der Gesamtheit der Anmeldeunterlagen in ihrer ursprünglich eingereichten Fassung unter Heranziehung des allgemeinen Fachwissens - objektiv und bezogen auf den Anmeldetag - unmittelbar und eindeutig entnehmen kann. Dieser Prüfmassstab wird als "Goldstandard" bezeichnet ( BGE 147 III 337 E. 7.1.1; 146 III 177 E. 2.1.3 mit Hinweisen).</w:t>
      </w:r>
    </w:p>
    <w:p>
      <w:r>
        <w:rPr>
          <w:b/>
        </w:rPr>
        <w:t>E. 5.2.1</w:t>
      </w:r>
    </w:p>
    <w:p>
      <w:r>
        <w:t>Die Vorinstanz wies bezüglich der Änderungen an den erteilten Ansprüchen von Streitpatent EP yyy darauf hin, dass im Anspruch 1 der ursprünglich eingereichten Stammanmeldung WO xxx1.________ nicht von einer "Zeichenfolge" gesprochen werde, sondern von einem dem Symbol zugeordneten "sprachlichen Ausdruck". Die gleiche Offenbarung finde man in der allgemeinen Beschreibung zum Anspruch 1. Auch in den unabhängigen Ansprüchen 16, 20, 24, 29 und 38 werde immer von "sprachlichem Ausdruck" gesprochen und nicht von einer Zeichenfolge. Ein "sprachlicher Ausdruck" und eine "Zeichenfolge" seien nicht dasselbe: Ein sprachlicher Ausdruck habe eine für Menschen erkennbare, wenn auch nicht immer eindeutige Bedeutung, während eine Zeichenfolge frei von jeder Bedeutung sein könne. Die Zeichenfolge " (f3=2hE*trx+àlJ%s/" sei eine (alphanumerische) Zeichenfolge, aber kein sprachlicher Ausdruck. Die Zeichenfolge "Sonne" sei hingegen ein sprachlicher Ausdruck, der für (des Deutschen mächtige) Menschen eine Bedeutung habe.</w:t>
      </w:r>
    </w:p>
    <w:p>
      <w:r>
        <w:t>Der Begriff "Zeichenfolge" werde in der ursprünglichen Stammanmeldung WO xxx1.________ in Anspruch 39 und Anspruch 46 und der dazugehörigen Beschreibung erwähnt, aber nur im spezifischen Zusammenhang mit der Übermittlung von Bildsequenzen mit zugehörigen Tonfolgen, die von der Empfangseinrichtung visuell und akustisch wiedergegeben werden. Damit fehle der Stammanmeldung eine allgemeine Offenbarung der Zuordnung der Elemente, einzeln oder in Kombination, gemäss den Merkmalen 1.6-1.10 bzw. 1.23-1.27 zu einer Zeichenfolge, und noch viel mehr fehle es an einer Zuordnung zu einer alphanumerischen Zeichenfolge, und dass eine solche als kurze alphanumerische Zeichenfolge über das Mobilfunknetz übermittelt werde.</w:t>
      </w:r>
    </w:p>
    <w:p>
      <w:r>
        <w:t>Damit gehe die Unzulässigkeit der Änderungen gegenüber der ursprünglichen Offenbarung der Stammanmeldung WO xxx1.________ über jene gegenüber der ursprünglichen Offenbarung der Teilanmeldung EP yyy1.________ hinaus. Während im letzteren Fall nur das Merkmal der (kurzen) alphanumerischen Zeichenfolge nicht unmittelbar und eindeutig offenbart sei, fehle bezüglich der ursprünglichen Offenbarung der Stammanmeldung das Merkmal der Zuordnung der Elemente gemäss den Merkmalen 1.6-1.10 zu einer beliebigen Zeichenfolge. Auch sei es richtig, dass der Begriff "Bild" in der ursprünglich eingereichten Fassung der Stammanmeldung ausschliesslich im Kontext eines bewegten Bildes verwendet werde. Es fehle demnach spezifisch an einer Offenbarung der Kombination eines Einzelbildes mit einem Ton oder einer Tonfolge. Damit ergebe sich, dass alle erteilten unabhängigen Ansprüche von EP yyy unzulässig geändert worden seien.</w:t>
      </w:r>
    </w:p>
    <w:p>
      <w:r>
        <w:rPr>
          <w:b/>
        </w:rPr>
        <w:t>E. 5.2.2</w:t>
      </w:r>
    </w:p>
    <w:p>
      <w:r>
        <w:t>Die Beschwerdeführerin bezeichnet das vorinstanzliche Verständnis der massgebenden Begriffe als unzutreffend und hält der Erwägung der Vorinstanz entgegen, die Begriffe "Zeichenfolge" und "sprachlicher Ausdruck" würden in den verschiedenen Druckschriften "aus technischer Sicht als Synonyme verwendet". Sie vermag jedoch keine Verletzung patentrechtlicher Bestimmungen aufzuzeigen, indem sie vor Bundesgericht ihre im vorinstanzlichen Verfahren in der Replik vorgetragenen Vorbringen wiederholt und ohne weitere Begründung behauptet, für den Fachmann sei es klar, dass es zwischen den beiden Begriffen keinen technisch erkennbaren Unterschied gebe. Die Vorinstanz hat sich nicht auf einen "linguistischen Auslegungsansatz" beschränkt, sondern hat den Wortlaut zutreffend als Ausgangspunkt gewählt, bei ihrer Auslegung jedoch die gesamte Patentschrift berücksichtigt (zur Auslegung BGE 147 III 337 E. 6.1). Abgesehen davon verfängt der Hinweis in der Beschwerde darauf, wie die Beschwerdeführerin selber die beiden Begriffe verwendet, nicht. Entgegen dem, was sie anzunehmen scheint, ist eine derartige subjektive Sichtweise nicht massgebend (vgl. Urteil 4A_320/2023 vom 21. November 2023 E. 5.2.1).</w:t>
      </w:r>
    </w:p>
    <w:p>
      <w:r>
        <w:t>Zudem ist im Umstand, dass die Vorinstanz diesen Vorbringen nicht folgte, keine Gehörsverletzung ( Art. 29 Abs. 2 BV und Art. 6 Ziff. 1 EMRK ) zu erblicken. Inwiefern die Vorinstanz die entsprechenden Vorbringen in der Replik unberücksichtigt gelassen hätte, ist nicht ersichtlich.</w:t>
      </w:r>
    </w:p>
    <w:p>
      <w:r>
        <w:rPr>
          <w:b/>
        </w:rPr>
        <w:t>E. 5.2.3</w:t>
      </w:r>
    </w:p>
    <w:p>
      <w:r>
        <w:t>Die Beschwerdeführerin beanstandet die vorinstanzliche Feststellung als unzutreffend, wonach der Begriff "Bild" als Einzelbild zu verstehen sei, während er in der ursprünglich eingereichten Fassung der Stammanmeldung einzig im Kontext eines bewegten Bildes (d.h. einer Bildfolge) verwendet werde, womit es an einer Offenbarung der Kombination eines Einzelbildes mit einem Ton oder einer Tonfolge fehle. Sie wiederholt jedoch auch in diesem Zusammenhang lediglich ihre Vorbringen im vorinstanzlichen Verfahren. Entgegen ihrer Ansicht kann aus der im angefochtenen Entscheid aufgeführten Fig. 28 kein unauflöslicher Widerspruch zu den vorinstanzlichen Erwägungen zur Änderung der Patentansprüche abgeleitet werden, zumal die Vorinstanz die Abbildung in einem anderen Zusammenhang, nämlich hinsichtlich des klägerischen Antrags auf Einholung eines Gerichtsgutachtens (E. 18), erwähnt. Zudem ist auch hier nicht ersichtlich, dass die Vorinstanz die Ausführungen der Beschwerdeführerin in der Replik "völlig ignoriert" hätte, wie diese einmal mehr behauptet.</w:t>
      </w:r>
    </w:p>
    <w:p>
      <w:r>
        <w:rPr>
          <w:b/>
        </w:rPr>
        <w:t>E. 5.3</w:t>
      </w:r>
    </w:p>
    <w:p>
      <w:r>
        <w:t>Die Beschwerdeführerin kritisiert hinsichtlich der erfolgten Änderung der Ansprüche von Streitpatent EP xxx die vorinstanzliche Erwägung, wonach die Behauptungen der Beschwerdegegnerinnen mangels substanziierter Behauptungen der Beschwerdeführerin als unbestritten zu gelten hätten, weshalb von einer unzulässigen Änderung von EP xxx auszugehen sei.</w:t>
      </w:r>
    </w:p>
    <w:p>
      <w:r>
        <w:t>Sie bringt vor, die Vorinstanz ignoriere damit offensichtlich den Sachvortrag der Beschwerdeführerin in BPatGer act. 77 Rz. 1702-1703, in welchem sie den direkten Zusammenhang mit den gültigen Prioritäten herstelle und auf die Beweisofferte BPatGer act. 77_97 mit entsprechendem sehr ausführlich auf Merkmalsebene für beide Streitpatente geführtem Nachweis der gültigen Priorität in Tabellenform verweise. Den ins Feld geführten Verweis sucht man an der von der Beschwerdeführerin angegebenen Stelle jedoch vergeblich. Der Vorwurf des überspitzten Formalismus zielt bereits aus diesem Grund ins Leere. Abgesehen davon bezeichnet die Beschwerdeführerin die vorinstanzliche Begründung der unzureichenden Substanziierung lediglich als unzutreffend, legt jedoch nicht dar, inwiefern die Substanziierungsanforderungen bundesrechtswidrig angewendet worden wären. Zudem zeigt sie mit der nicht weiter begründeten Behauptung, die Vorinstanz habe ihren "Sachvortrag aus act. 90, Rz. 2021-2038 mit Verweisen auf act. 77, Rz. 1706 [ignoriert]", weder eine Verletzung der Verhandlungsmaxime ( Art. 55 Abs. 1 ZPO ) noch eine solche des rechtlichen Gehörs ( Art. 29 Abs. 2 BV ) auf.</w:t>
      </w:r>
    </w:p>
    <w:p>
      <w:r>
        <w:t>Damit ist die Hauptbegründung der Vorinstanz für die unzulässige Änderung der erteilten Ansprüche des Streitpatents EP xxx nicht zu beanstanden, weshalb es sich erübrigt, auf die Vorbringen in der Beschwerde zur vorinstanzlichen Eventualbegründung einzugehen.</w:t>
      </w:r>
    </w:p>
    <w:p>
      <w:r>
        <w:rPr>
          <w:b/>
        </w:rPr>
        <w:t>E. 5.4</w:t>
      </w:r>
    </w:p>
    <w:p>
      <w:r>
        <w:t>Unverständlich ist der Einwand der Beschwerdeführerin, die Vorinstanz habe im Zusammenhang mit der gültigen Beanspruchung der Prioritäten "indirekt eingeräumt", dass sie die Frage der unzulässigen Änderung und der Auslegung der strittigen Begriffe nicht vollständig geprüft habe. Die Vorinstanz hat im Gegenteil ausdrücklich festgehalten, dass beide Streitpatente aufgrund der als unzulässig beurteilten Änderungen nicht rechtsbeständig seien und die weiteren Nichtigkeitsgründe nur geprüft würden, um zu zeigen, dass die Streitpatente selbst dann nichtig seien, wenn die Änderungen als zulässig zu betrachten wären.</w:t>
      </w:r>
    </w:p>
    <w:p>
      <w:r>
        <w:t>Die Begründung im angefochtenen Entscheid, wonach sämtliche unabhängigen Ansprüche beider Streitpatente unzulässig geändert wurden und damit beide Streitpatente insgesamt nicht rechtsbeständig sind, hält vor Bundesrecht stand. Es erübrigt sich daher, auf die Vorbringen in der Beschwerde zu den weiteren Nichtigkeitsgründen, so insbesondere zur Neuheit der Streitpatente und zur erfinderischen Tätigkeit, einzugehen.</w:t>
      </w:r>
    </w:p>
    <w:p>
      <w:r>
        <w:rPr>
          <w:b/>
        </w:rPr>
        <w:t>E. 6</w:t>
      </w:r>
    </w:p>
    <w:p>
      <w:r>
        <w:t>Die Beschwerde ist abzuweisen, soweit darauf eingetreten werden kann. Dem Ausgang des Verfahrens entsprechend wird die Beschwerdeführerin kosten- und entschädigungspflichtig ( Art. 66 Abs. 1 und Art. 68 Abs. 2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