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4A_536/2014 vom 3. März 2015</w:t>
      </w:r>
    </w:p>
    <w:p>
      <w:r>
        <w:t>Bundesgericht, 2015-03-03, DE</w:t>
      </w:r>
    </w:p>
    <w:p>
      <w:r>
        <w:rPr>
          <w:b/>
        </w:rPr>
        <w:t xml:space="preserve">Quelle: </w:t>
      </w:r>
      <w:r>
        <w:t>https://mcp.opencaselaw.ch/entscheid/bger_4A_536_2014</w:t>
      </w:r>
    </w:p>
    <w:p>
      <w:r>
        <w:t>FR: TF 4A_536/2014 du 3 mars 2015</w:t>
      </w:r>
    </w:p>
    <w:p>
      <w:r>
        <w:t>IT: TF 4A_536/2014 del 3 marzo 2015</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Angefochten ist ein Schiedsspruch über eine Streitigkeit zwischen zwei Parteien, die im Zeitpunkt des Abschlusses der Schiedsvereinbarung beide ihren Sitz bzw. Wohnsitz in der Schweiz hatten. Weder in der Schiedsvereinbarung noch später haben die Parteien vereinbart, dass die Bestimmungen über die internationale Schiedsgerichtsbarkeit ( Art. 176 ff. IPRG ) Anwendung finden sollen (vgl. Art. 353 Abs. 2 ZPO [SR 272]). Eine solche Vereinbarung lässt sich insbesondere auch aus der Unterstellung des Schiedsverfahrens unter die ICC-Schiedsordnung nicht ableiten.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4A_424/2011 vom 2. November 2011 E. 1.3 mit Hinweisen).</w:t>
      </w:r>
    </w:p>
    <w:p>
      <w:r>
        <w:rPr>
          <w:b/>
        </w:rPr>
        <w:t>E. 2</w:t>
      </w:r>
    </w:p>
    <w:p>
      <w:r>
        <w:t>Die Beschwerdeführerin rügt, die Zusprechung einer Parteientschädigung an den Beschwerdegegner sowie die Auferlegung der gesamten Kosten des Schiedsverfahrens an die Beschwerdeführerin sei willkürlich.</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Mit offensichtlicher Verletzung des Rechts gemäss Art. 393 lit. e ZPO ist nach bundesgerichtlicher Rechtsprechung indes nur eine Verletzung des materiellen Rechts gemeint und nicht eine solche des Verfahrensrechts ( BGE 131 I 45 E. 3.4 S. 48; 112 Ia 350 E. 2 S. 352; Urteile 4A_378/2014 vom 24. November 2014 E. 2.1; 4A_274/2014 vom 30. September 2014 E. 1.3; 4A_117/2014 vom 23. Juli 2014 E. 3.1; 4A_511/2013 vom 27. Februar 2014 E. 2.3.2, publ. in: ASA Bulletin 3/2014, S. 609 ff.). Vorbehalten bleiben in Analogie zur Rechtsprechung zu Art. 190 Abs. 2 lit. e IPRG Prozessfehler, die den verfahrensrechtlichen Ordre public verletzen (Urteile 4A_378/2014 vom 24. November 2014 E. 2.1; 4A_117/2014 vom 23. Juli 2014 E. 3.1; 4A_511/2013 vom 27. Februar 2014 E. 2.3.2, publ. in: ASA Bulletin 3/2014, S. 609 ff.).</w:t>
      </w:r>
    </w:p>
    <w:p>
      <w:r>
        <w:rPr>
          <w:b/>
        </w:rPr>
        <w:t>E. 2.2</w:t>
      </w:r>
    </w:p>
    <w:p>
      <w:r>
        <w:t>Nach der bundesgerichtlichen Rechtsprechung zu Art. 393 lit. e ZPO handelt es sich bei der Verteilung der Partei- und Gerichtskosten um eine Frage des Verfahrensrechts, nicht des materiellen Rechts. Die Rüge, das Schiedsgericht habe die Kosten willkürlich verlegt, steht mithin im Rahmen von Art. 393 lit. e ZPO nicht offen; gegen die Kostenverlegung in einem internen Schiedsentscheid kann vor Bundesgericht einzig ein Verstoss gegen den (verfahrensrechtlichen)</w:t>
      </w:r>
    </w:p>
    <w:p>
      <w:r>
        <w:t>Ordre public eingewendet werden (Urteile 4A_511/2013 vom 27. Februar 2014 E. 2.3.3, publ. in: ASA Bulletin 3/2014, S. 609 ff.; 4A_378/2014 vom 24. November 2014 E. 2.2.3).</w:t>
      </w:r>
    </w:p>
    <w:p>
      <w:r>
        <w:rPr>
          <w:b/>
        </w:rPr>
        <w:t>E. 2.3</w:t>
      </w:r>
    </w:p>
    <w:p>
      <w:r>
        <w:t>Dies verkennt die Beschwerdeführerin, wenn sie in ihrer Beschwerde lediglich eine willkürliche Kostenverlegung rügt, ohne geltend zu machen, dass die getroffene Kostenregelung gleichsam gegen den prozessualen</w:t>
      </w:r>
    </w:p>
    <w:p>
      <w:r>
        <w:t>Ordre public verstosse. Damit erhebt die Beschwerdeführerin in ihrer Beschwerde keine zulässigen Rügen.</w:t>
      </w:r>
    </w:p>
    <w:p>
      <w:r>
        <w:rPr>
          <w:b/>
        </w:rPr>
        <w:t>E. 3</w:t>
      </w:r>
    </w:p>
    <w:p>
      <w:r>
        <w:t>Damit ist auf die Beschwerde mangels zulässiger Rügen nicht einzutreten.</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