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4A_534/2015 vom 2. Februar 2016</w:t>
      </w:r>
    </w:p>
    <w:p>
      <w:r>
        <w:t>Bundesgericht, 2016-02-02, FR</w:t>
      </w:r>
    </w:p>
    <w:p>
      <w:r>
        <w:rPr>
          <w:b/>
        </w:rPr>
        <w:t xml:space="preserve">Quelle: </w:t>
      </w:r>
      <w:r>
        <w:t>https://mcp.opencaselaw.ch/entscheid/bger_4A_534_2015</w:t>
      </w:r>
    </w:p>
    <w:p>
      <w:r>
        <w:t>FR: TF 4A_534/2015 du 2 février 2016</w:t>
      </w:r>
    </w:p>
    <w:p>
      <w:r>
        <w:t>IT: TF 4A_534/2015 del 2 febbraio 2016</w:t>
      </w:r>
    </w:p>
    <w:p>
      <w:pPr>
        <w:pStyle w:val="Heading2"/>
      </w:pPr>
      <w:r>
        <w:t>Erwägungen</w:t>
      </w:r>
    </w:p>
    <w:p>
      <w:r>
        <w:rPr>
          <w:b/>
        </w:rPr>
        <w:t>E. 1</w:t>
      </w:r>
    </w:p>
    <w:p>
      <w:r>
        <w:t>Les recourants dénoncent une violation de l' art. 8 CC et une appréciation arbitraire ( art. 9 Cst. ) des preuves.</w:t>
      </w:r>
    </w:p>
    <w:p>
      <w:r>
        <w:rPr>
          <w:b/>
        </w:rPr>
        <w:t>E. 1.1</w:t>
      </w:r>
    </w:p>
    <w:p>
      <w:r>
        <w:t>L'argumentation des recourants montre qu'ils contestent exclusivement l'appréciation des preuves. L'on ne discerne aucun grief relevant typiquement de l' art. 8 CC , tel que le reproche d'avoir renversé le fardeau de la preuve, d'avoir méconnu le degré de preuve requis par le droit fédéral ou encore d'avoir violé le droit à la preuve en refusant d'ordonner une mesure probatoire (cf. ATF 129 III 18 consid. 2.6; 130 III 591 consid. 5.4).</w:t>
      </w:r>
    </w:p>
    <w:p>
      <w:r>
        <w:rPr>
          <w:b/>
        </w:rPr>
        <w:t>E. 1.2</w:t>
      </w:r>
    </w:p>
    <w:p>
      <w:r>
        <w:t>Selon la jurisprudence, l'appréciation des preuves est arbitraire lorsque le juge, sans raison sérieuse, omet de tenir compte d'un élément de preuve propre à modifier sa décision, lorsqu'il se trompe manifestement sur son sens et sa portée, ou lorsqu'il en déduit des constatations insoutenables. L'arbitraire ne résulte pas du seul fait qu'une autre solution serait envisageable, voire préférable. Le Tribunal fédéral annule la décision attaquée uniquement lorsqu'elle est insoutenable, se trouve en contradiction claire avec la situation de fait, viole gravement une norme ou un principe juridique indiscuté, ou heurte de manière choquante le sentiment de la justice et de l'équité (cf. par ex. ATF 136 III 552 consid. 4.2).</w:t>
      </w:r>
    </w:p>
    <w:p>
      <w:r>
        <w:t>Le grief d'arbitraire est soumis aux exigences de motivation plus strictes concernant les droits fondamentaux ( art. 106 al. 2 LTF ). Le recourant doit invoquer le droit ou principe constitutionnel dont il entend se prévaloir et expliquer de manière circonstanciée en quoi il a selon lui été enfreint ( ATF 134 II 244 consid. 2.2; 133 II 249 consid. 1.4.3 p. 255).</w:t>
      </w:r>
    </w:p>
    <w:p>
      <w:r>
        <w:rPr>
          <w:b/>
        </w:rPr>
        <w:t>E. 1.3</w:t>
      </w:r>
    </w:p>
    <w:p>
      <w:r>
        <w:t>Les recourants reprochent à la Cour de justice d'avoir nié que la dette de la promotrice envers le bureau d'architectes soit conditionnée au gain du présent procès. La Cour n'aurait pas accordé suffisamment d'importance à certains éléments. Ainsi, la promotrice a obtenu d'autres mandataires qu'ils renoncent à leurs honoraires en cas de perte du procès. Comme administrateur-président du bureau d'architectes, le témoin C.________ a un intérêt direct à l'issue du litige; il a reconnu que son bureau est en relations d'affaires avec la promotrice sur d'autres projets. Malgré son statut dans la société et l'importance de la créance (266'666 fr.), le témoin s'est révélé incapable de dire si elle figure ou non dans la comptabilité de la société; il s'est contenté d'un accord oral quant au paiement des honoraires à la fin du procès. Les juges genevois auraient de surcroît ignoré que la promotrice avait varié dans le montant de sa prétendue dette, sans jamais articuler les bons chiffres. Enfin, la Cour n'expliquerait pas pour quelle raison le témoignage de l'administrateur C.________ aurait plus de poids que l'art. 6 du contrat conditionnant le paiement du premier acompte à l'obtention du permis de construire. La thèse des recourants (encaissement des honoraires d'architecte conditionné au gain du procès) serait tout aussi plausible que celle de la partie adverse. Les juges auraient dû éprouver des doutes quant au caractère inconditionnel de la créance des architectes, et ne pas retenir de dommage.</w:t>
      </w:r>
    </w:p>
    <w:p>
      <w:r>
        <w:rPr>
          <w:b/>
        </w:rPr>
        <w:t>E. 1.4</w:t>
      </w:r>
    </w:p>
    <w:p>
      <w:r>
        <w:t>Contrairement à ce que plaide l'intimée, la motivation des recourants satisfait aux exigences de l' art. 106 al. 2 LTF . Dénonçant expressément l'arbitraire dans l'appréciation des preuves, ils expliquent par le détail que la cour n'a pas correctement soupesé les éléments recueillis, respectivement qu'elle a ignoré un aspect. Il importe peu que l'argumentation soit développée essentiellement sous la rubrique consacrée à l' art. 8 CC - à laquelle les recourants renvoient - en raison d'une analyse juridique erronée. Il convient dès lors d'entrer en matière sur ce grief.</w:t>
      </w:r>
    </w:p>
    <w:p>
      <w:r>
        <w:rPr>
          <w:b/>
        </w:rPr>
        <w:t>E. 1.5</w:t>
      </w:r>
    </w:p>
    <w:p>
      <w:r>
        <w:t>En évoquant l'art. 6 du contrat d'architecte, les recourants insinuent que le bureau d'architectes a renoncé à des honoraires pour le cas où l'autorisation de construire ne serait pas obtenue. Il n'apparaît pas que la volonté réelle des parties puisse être établie, de sorte qu'il faut recourir au principe de la confiance. Le témoin a donné les raisons d'exiger un premier acompte seulement après l'octroi du permis de construire (obtention du crédit de construction). Quand bien même elle aurait ignoré ce motif, la promotrice ne pouvait pas de bonne foi inférer de l'art. 6 que le bureau d'architectes travaillerait à perte et renoncerait dans tous les cas à des honoraires conséquents si, pour une raison ou pour une autre, le permis de construire n'était pas délivré. Quant au montant même de la créance (266'666 fr.), les recourants ne formulent aucun grief. Ils ne critiquent pas l'appréciation des preuves selon laquelle le travail accompli pour la parcelle voisine et pour les plans déposés en février 2010 n'est pas inclus dans ce montant. Il faut dès lors admettre que le bureau d'architectes a contre la promotrice une créance de 266'666 francs.</w:t>
      </w:r>
    </w:p>
    <w:p>
      <w:r>
        <w:t>Est litigieuse la question de savoir si la cour cantonale a arbitrairement exclu que cette créance soit conditionnée au gain du procès. L'on peut présupposer qu'en règle générale, les mandataires ne fournissent pas gratuitement leurs services et que les créanciers vont chercher à encaisser leurs créances. En l'occurrence, le montant en jeu est important (266'666 fr.), de sorte qu'une libéralité sera d'autant moins facilement admise. L'on sait tout au plus que le bureau d'architectes et la promotrice ont de bonnes relations et que le premier a obtenu un autre mandat par un groupement de promoteurs dont la seconde faisait partie; sans plus autre précision, ces éléments ne justifient pas en soi l'octroi d'une libéralité supérieure à 250'000 francs. Ce montant n'est en rien comparable aux honoraires du bureau d'ingénieurs (5'000 fr.) ayant renoncé à sa créance en cas de rejet de l'action intentée par la promotrice. Quant à la commission de courtage de 226'000 fr., les éléments mis en évidence par la Cour de justice font douter du montant, voire de l'existence même de cette créance.</w:t>
      </w:r>
    </w:p>
    <w:p>
      <w:r>
        <w:t>La promotrice a effectivement articulé un montant nettement exagéré (732'000 fr.) dans son courrier du 22 mars 2010 et dans sa demande, avant de réduire sa prétention au montant articulé par le témoin C.________ (324'932 fr.). Les recourants ne dénoncent pas pour autant une contradiction avec les déclarations du témoin selon lesquelles il s'est fait confirmer par la promotrice que les 266'666 fr. étaient dus. Cette déposition a été faite en mai 2011, alors que la requête de conciliation reprise comme demande a été déposée en août 2010. Au demeurant, il n'est pas inhabituel d'exagérer ses prétentions dans la procédure. De surcroît, l'on peut en soi convenir d'un sursis au paiement sans encore connaître le montant exact de la dette, étant entendu que la promotrice pouvait facilement l'estimer en se fondant sur le contrat d'architecte.</w:t>
      </w:r>
    </w:p>
    <w:p>
      <w:r>
        <w:t>La Cour de justice n'a pas ignoré la position du témoin dans le bureau d'architectes; elle a souligné qu'il avait été averti des conséquences d'un faux témoignage.</w:t>
      </w:r>
    </w:p>
    <w:p>
      <w:r>
        <w:t>L'intérêt à attendre l'issue du procès doit certes être relativisé si l'on admet que le bureau d'architectes fera valoir sa créance dans tous les cas, mais les recourants eux-mêmes ne plaident pas qu'il serait inexistant.</w:t>
      </w:r>
    </w:p>
    <w:p>
      <w:r>
        <w:t>Finalement, en tenant compte de tous les éléments recueillis, notamment de ceux mis en exergue par les recourants, il n'est pas insoutenable de conclure que le bureau d'architectes a la volonté ferme d'encaisser sa créance contre la promotrice à l'issue du procès, et que cette créance n'est donc pas conditionnée au gain du procès par la promotrice.</w:t>
      </w:r>
    </w:p>
    <w:p>
      <w:r>
        <w:rPr>
          <w:b/>
        </w:rPr>
        <w:t>E. 1.6</w:t>
      </w:r>
    </w:p>
    <w:p>
      <w:r>
        <w:t>Les recourants ne soulèvent pas d'autres griefs, ce qui clôt toute discussion ( art. 42 al. 2 LTF ; ATF 140 III 115 consid. 2 p. 116).</w:t>
      </w:r>
    </w:p>
    <w:p>
      <w:r>
        <w:rPr>
          <w:b/>
        </w:rPr>
        <w:t>E. 2</w:t>
      </w:r>
    </w:p>
    <w:p>
      <w:r>
        <w:t>En définitive, le recours doit être rejeté. La demande d'effet suspensif est privée d'objet. L'émolument judiciaire est mis à la charge des recourants, solidairement entre eux, lesquels verseront à l'intimée une indemnité de dépens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