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533/2021 vom 29. November 2021</w:t>
      </w:r>
    </w:p>
    <w:p>
      <w:r>
        <w:t>Bundesgericht, 2021-11-29, DE</w:t>
      </w:r>
    </w:p>
    <w:p>
      <w:r>
        <w:rPr>
          <w:b/>
        </w:rPr>
        <w:t xml:space="preserve">Quelle: </w:t>
      </w:r>
      <w:r>
        <w:t>https://mcp.opencaselaw.ch/entscheid/bger_4A_533_2021</w:t>
      </w:r>
    </w:p>
    <w:p>
      <w:r>
        <w:t>FR: TF 4A 533/2021 du 29 novembre 2021</w:t>
      </w:r>
    </w:p>
    <w:p>
      <w:r>
        <w:t>IT: TF 4A 533/2021 del 29 novembre 2021</w:t>
      </w:r>
    </w:p>
    <w:p>
      <w:pPr>
        <w:pStyle w:val="Heading2"/>
      </w:pPr>
      <w:r>
        <w:t>Regeste</w:t>
      </w:r>
    </w:p>
    <w:p>
      <w:r>
        <w:t>unentgeltliche Rechtspflege, | Obligationenrecht (allgemein)</w:t>
      </w:r>
    </w:p>
    <w:p>
      <w:pPr>
        <w:pStyle w:val="Heading2"/>
      </w:pPr>
      <w:r>
        <w:t>Erwägungen</w:t>
      </w:r>
    </w:p>
    <w:p>
      <w:r>
        <w:rPr>
          <w:b/>
        </w:rPr>
        <w:t>E. 1</w:t>
      </w:r>
    </w:p>
    <w:p>
      <w:r>
        <w:t>Das Kreisgericht Rorschach setzte dem Beschwerdeführer in einem von ihm angestrengten Forderungsprozess (Antrag auf Schadenersatz von Fr. 200'000.-- und Genugtuung von Fr. 80'000.--) Frist zur Leistung eines Kostenvorschusses von Fr. 18'000.-- an. In der Folge stellte der Beschwerdeführer ein Gesuch um unentgeltliche Rechtspflege, das vom Kreisgericht mit Entscheid vom 29. Juli 2021 abgewiesen wurde. Mit Entscheid vom 14. September 2021 wies das Kantonsgericht St. Gallen eine vom Beschwerdeführer gegen den kreisgerichtlichen Entscheid vom 29. Juli 2021 erhobene Beschwerde ab. Mit Eingabe vom 15. Oktober 2021 erklärte der Beschwerdeführer dem Bundesgericht, gegen den Entscheid des Kantonsgerichts St. Gallen vom 14. September 2021 Beschwerde zu erheben.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Der Beschwerdeführer setzt sich in seiner Beschwerdeeingabe vom 15. Oktober 2021 nicht hinreichend mit den Erwägungen des angefochtenen Entscheids des Kantonsgerichts St. Gallen vom 14. September 2021 auseinander und zeigt nicht auf, inwiefern die Vorinstanz mit ihrem Entscheid - so insbesondere im Zusammenhang mit der vorläufigen Beurteilung der Verjährung der eingeklagten Schadenersatz- und Genugtuungsforderung sowie der Beweislage - Bundesrecht verletzt hätte. Vielmehr unterbreitet er dem Bundesgericht in frei gehaltenen Ausführungen seine Sicht der Dinge und und reicht in unzulässiger Weise verschiedene neue Beweismittel ein. Die Eingabe vom 15. Oktober 2021 erfüllt damit die erwähnten Begründungsanforderungen offensichtlich nicht.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Dem Beschwerdegegner steht keine Parteientschädigung zu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