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4A_533/2017 vom 2. November 2017</w:t>
      </w:r>
    </w:p>
    <w:p>
      <w:r>
        <w:t>Bundesgericht, 2017-11-02, DE</w:t>
      </w:r>
    </w:p>
    <w:p>
      <w:r>
        <w:rPr>
          <w:b/>
        </w:rPr>
        <w:t xml:space="preserve">Quelle: </w:t>
      </w:r>
      <w:r>
        <w:t>https://mcp.opencaselaw.ch/entscheid/bger_4A_533_2017</w:t>
      </w:r>
    </w:p>
    <w:p>
      <w:r>
        <w:t>FR: TF 4A_533/2017 du 2 novembre 2017</w:t>
      </w:r>
    </w:p>
    <w:p>
      <w:r>
        <w:t>IT: TF 4A_533/2017 del 2 novembre 2017</w:t>
      </w:r>
    </w:p>
    <w:p>
      <w:pPr>
        <w:pStyle w:val="Heading2"/>
      </w:pPr>
      <w:r>
        <w:t>Volltext</w:t>
      </w:r>
    </w:p>
    <w:p>
      <w:r>
        <w:t>Bundesgericht</w:t>
      </w:r>
    </w:p>
    <w:p>
      <w:r>
        <w:t>Tribunal fédéral</w:t>
      </w:r>
    </w:p>
    <w:p>
      <w:r>
        <w:t>Tribunale federale</w:t>
      </w:r>
    </w:p>
    <w:p>
      <w:r>
        <w:t>Tribunal federal</w:t>
      </w:r>
    </w:p>
    <w:p>
      <w:r>
        <w:t>4A_533/2017</w:t>
      </w:r>
    </w:p>
    <w:p>
      <w:r>
        <w:t>Urteil vom 2. November 2017</w:t>
      </w:r>
    </w:p>
    <w:p>
      <w:r>
        <w:t>I. zivilrechtliche Abteilung</w:t>
      </w:r>
    </w:p>
    <w:p>
      <w:r>
        <w:t>Besetzung</w:t>
      </w:r>
    </w:p>
    <w:p>
      <w:r>
        <w:t>Bundesrichterin Kiss, Präsidentin,</w:t>
      </w:r>
    </w:p>
    <w:p>
      <w:r>
        <w:t>Gerichtsschreiber Kölz.</w:t>
      </w:r>
    </w:p>
    <w:p>
      <w:r>
        <w:t>Verfahrensbeteiligte</w:t>
      </w:r>
    </w:p>
    <w:p>
      <w:r>
        <w:t>A.________,</w:t>
      </w:r>
    </w:p>
    <w:p>
      <w:r>
        <w:t>vertreten durch Rechtsanwalt Rafael Fischer,</w:t>
      </w:r>
    </w:p>
    <w:p>
      <w:r>
        <w:t>Beschwerdeführer,</w:t>
      </w:r>
    </w:p>
    <w:p>
      <w:r>
        <w:t>gegen</w:t>
      </w:r>
    </w:p>
    <w:p>
      <w:r>
        <w:t>B.________,</w:t>
      </w:r>
    </w:p>
    <w:p>
      <w:r>
        <w:t>vertreten durch Rechtsanwalt Armin Thaler,</w:t>
      </w:r>
    </w:p>
    <w:p>
      <w:r>
        <w:t>Beschwerdegegner.</w:t>
      </w:r>
    </w:p>
    <w:p>
      <w:r>
        <w:t>Gegenstand</w:t>
      </w:r>
    </w:p>
    <w:p>
      <w:r>
        <w:t>Sicherheit für die Parteientschädigung, Nichteintreten,</w:t>
      </w:r>
    </w:p>
    <w:p>
      <w:r>
        <w:t>Beschwerde gegen den Entscheid des Obergerichts des Kantons Thurgau vom 24. August 2017 (ZBR.2017.27).</w:t>
      </w:r>
    </w:p>
    <w:p>
      <w:r>
        <w:t>In Erwägung,</w:t>
      </w:r>
    </w:p>
    <w:p>
      <w:r>
        <w:t>dass A.________ (Beschwerdeführer) am 2. September 2016 beim Bezirksgericht Kreuzlingen eine Aberkennungsklage gegen B.________ (Beschwerdegegner) anhängig machte;</w:t>
      </w:r>
    </w:p>
    <w:p>
      <w:r>
        <w:t>dass die Bezirksgerichtspräsidentin A.________ mit Verfügung vom 28. Oktober 2016 auf Antrag von B.________ verpflichtete, eine Sicherheit für die Parteientschädigung in der Höhe von Fr. 42'000.-- zu leisten;</w:t>
      </w:r>
    </w:p>
    <w:p>
      <w:r>
        <w:t>dass das Obergericht des Kantons Thurgau eine gegen diese Verfügung gerichtete Beschwerde von A.________ mit Entscheid vom 7./16. Dezember 2016 abwies, soweit es darauf eintrat;</w:t>
      </w:r>
    </w:p>
    <w:p>
      <w:r>
        <w:t>dass A.________ das Bezirksgericht am 30. Januar 2017 um Gewährung der unentgeltlichen Rechtspflege und Befreiung von Vorschuss- und Sicherheitsleistungen ersuchte;</w:t>
      </w:r>
    </w:p>
    <w:p>
      <w:r>
        <w:t>dass das Bezirksgericht, nachdem es A.________ auf dessen Auskunfts- und Mitwirkungspflicht aufmerksam gemacht, dieser aber die verlangten Unterlagen innert Frist nicht nachgereicht hatte, mit Entscheid vom 11. Mai 2017 das Gesuch um unentgeltliche Rechtspflege androhungsgemäss abwies und A.________ eine Nachfrist ansetzte, um die angeordnete Sicherheit zu leisten;</w:t>
      </w:r>
    </w:p>
    <w:p>
      <w:r>
        <w:t>dass das Bezirksgericht mit Entscheid vom 8./9. Juni 2017 zufolge Nichtbezahlens der Sicherheitsleistung für die Parteientschädigung auf die Klage nicht eintrat;</w:t>
      </w:r>
    </w:p>
    <w:p>
      <w:r>
        <w:t>dass das Obergericht des Kantons Thurgau die von A.________ hiergegen erhobene Berufung mit Entscheid vom 24. August 2017 abwies, soweit es darauf eintrat;</w:t>
      </w:r>
    </w:p>
    <w:p>
      <w:r>
        <w:t>dass A.________ mit Eingabe an das Bundesgericht vom 6. Oktober 2017 erklärte, diesen Entscheid mit Beschwerde anzufechten;</w:t>
      </w:r>
    </w:p>
    <w:p>
      <w:r>
        <w:t>dass keine Vernehmlassungeneingeholt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w:t>
      </w:r>
    </w:p>
    <w:p>
      <w:r>
        <w:t>dass das Obergericht den angefochtenen Entscheid einerseits damit begründete, die Eingabe enthalte keine den Anforderungen von Art. 311 Abs. 1 ZPO genügende Auseinandersetzung mit dem angefochtenen erstinstanzlichen Entscheid, und andererseits, das Bezirksgericht sei zu Recht mangels geleisteter Sicherheit auf die Klage nicht eingetreten, zumal der Antrag, dem Beschwerdeführer sei eine "Beibringungsfrist von zwei Monaten zwecks Kostenübernahme durch einen Prozessfinanzierer zu gewähren", erst im Berufungsverfahren gestellt worden sei;</w:t>
      </w:r>
    </w:p>
    <w:p>
      <w:r>
        <w:t>dass sich der Beschwerdeführer im Wesentlichen damit begnügt, die Prozessgeschichte unter wörtlicher Wiedergabe des angefochtenen Entscheids zu rekapitulieren und seinerseits anzufügen, er wehre sich gegen die entsprechende "Vorgehensweise";</w:t>
      </w:r>
    </w:p>
    <w:p>
      <w:r>
        <w:t>dass er ferner behauptet, die Vorinstanz habe ihm "die Finanzierungshilfe durch einen Prozesskostenfinanzierer verunmöglicht", worin für ihn "ein unzulässiger Rechtsnachteil" liege, ohne jedoch unter Bezugnahme auf die Entscheidgründe der Vorinstanz aufzuzeigen, inwiefern der angefochtene Entscheid seines Erachtens konkret gegen Bundesrecht verstossen soll;</w:t>
      </w:r>
    </w:p>
    <w:p>
      <w:r>
        <w:t>dass die Beschwerde demnach offensichtlich keine hinreichende Begründung enthält, weshalb im vereinfachten Verfahren gemäss Art. 108 Abs. 1 lit. b BGG auf sie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Thurgau schriftlich mitgeteilt.</w:t>
      </w:r>
    </w:p>
    <w:p>
      <w:r>
        <w:t>Lausanne, 2. November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