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4A_533/2008 vom 6. Februar 2009</w:t>
      </w:r>
    </w:p>
    <w:p>
      <w:r>
        <w:t>Bundesgericht, 2009-02-06, FR</w:t>
      </w:r>
    </w:p>
    <w:p>
      <w:r>
        <w:rPr>
          <w:b/>
        </w:rPr>
        <w:t xml:space="preserve">Quelle: </w:t>
      </w:r>
      <w:r>
        <w:t>https://mcp.opencaselaw.ch/entscheid/bger_4A_533_2008</w:t>
      </w:r>
    </w:p>
    <w:p>
      <w:r>
        <w:t>FR: TF 4A_533/2008 du 6 février 2009</w:t>
      </w:r>
    </w:p>
    <w:p>
      <w:r>
        <w:t>IT: TF 4A_533/2008 del 6 febbraio 2009</w:t>
      </w:r>
    </w:p>
    <w:p>
      <w:pPr>
        <w:pStyle w:val="Heading2"/>
      </w:pPr>
      <w:r>
        <w:t>Erwägungen</w:t>
      </w:r>
    </w:p>
    <w:p>
      <w:r>
        <w:rPr>
          <w:b/>
        </w:rPr>
        <w:t>E. 1</w:t>
      </w:r>
    </w:p>
    <w:p>
      <w:r>
        <w:t>Le recours est formé au motif que le Tribunal cantonal tarde à instruire la cause qui lui est soumise et, partant, à rendre une décision ( art. 94 LTF ). Celle-ci doit porter sur une matière connexe au droit civil ( art. 72 al. 2 let. b LTF ), soit la responsabilité d'un hôpital public envers un patient pour les actes d'un médecin employé de l'établissement ( ATF 133 III 462 consid. 2.1 p. 465); elle sera rendue en dernière instance cantonale ( art. 75 al. 1 LTF ) et elle est attendue par une partie dont les conclusions demeurent pendantes ( art. 76 al. 1 LTF ). La valeur litigieuse excède le minimum légal de 30'000 fr. ( art. 51 al. 1 let. a, art. 74 al. 1 let. b LTF ). Introduit dans les formes requises (art. 42 al. 1 à 3 LTF) et soumis à aucun délai ( art. 100 al. 7 LTF ), le recours en matière civile est recevable devant le Tribunal fédéral, notamment pour violation des droits constitutionnels fédéraux ( art. 95 let. a LTF ).</w:t>
      </w:r>
    </w:p>
    <w:p>
      <w:r>
        <w:rPr>
          <w:b/>
        </w:rPr>
        <w:t>E. 2</w:t>
      </w:r>
    </w:p>
    <w:p>
      <w:r>
        <w:t>Selon l' art. 29 al. 1 Cst. , toute personne a droit, dans une procédure judiciaire ou administrative, à ce que sa cause soit traitée équitablement et jugée dans un délai raisonnable. Le caractère raisonnable ou adéquat du délai de décision s'apprécie au regard de la nature de l'affaire et de l'ensemble des circonstances ( ATF 130 I 312 consid. 5.1 p. 331; 129 V 411 consid. 1.2 p. 416). Sur recours de la partie instante, lorsque l'autorité tarde sans justification à instruire ou à se prononcer, le Tribunal fédéral lui enjoint de le faire sans délai ( ATF 31 I 379 p. 384; voir aussi ATF 124 I 327 consid. 4b/bb p. 333).</w:t>
      </w:r>
    </w:p>
    <w:p>
      <w:r>
        <w:t>Pour le surplus, le Tribunal fédéral n'est pas, aux termes de la loi, chargé de surveiller l'instruction en cours devant l'autorité cantonale de dernière instance; il ne lui appartient donc pas de constater, le cas échéant, un dysfonctionnement autre qu'un retard actuel et persistant.</w:t>
      </w:r>
    </w:p>
    <w:p>
      <w:r>
        <w:t>Selon les observations présentées par le Tribunal cantonal sous la signature du juge délégué, l'instruction de la cause a été reprise devant ce tribunal après l'introduction du recours au Tribunal fédéral, par des démarches de ce magistrat tendant à la désignation d'un expert apte à remplacer le docteur Hungerbühler. Ces démarches ont mis fin à un éventuel retard dans l'instruction, de sorte que, conformément à l'opinion du juge délégué, le recours au Tribunal fédéral a perdu son objet. En pareil cas, la cause est rayée du rôle conformément aux art. 32 al. 2 LTF , 71 LTF et 72 PCF.</w:t>
      </w:r>
    </w:p>
    <w:p>
      <w:r>
        <w:rPr>
          <w:b/>
        </w:rPr>
        <w:t>E. 3</w:t>
      </w:r>
    </w:p>
    <w:p>
      <w:r>
        <w:t>Compte tenu que le recours présentait certaines chances de succès, il se justifie que le Tribunal fédéral renonce à prélever l'émolument judiciaire et que le canton de Fribourg prenne en charge les dépens du demandeur.</w:t>
      </w:r>
    </w:p>
    <w:p>
      <w:r>
        <w:t>Par ces motifs, vu l' art. 32 al. 2 LTF , la Présidente de la Cour ordonne: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