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4A_531/2024 vom 21. Februar 2025</w:t>
      </w:r>
    </w:p>
    <w:p>
      <w:r>
        <w:t>Bundesgericht, 2025-02-21, FR</w:t>
      </w:r>
    </w:p>
    <w:p>
      <w:r>
        <w:rPr>
          <w:b/>
        </w:rPr>
        <w:t xml:space="preserve">Quelle: </w:t>
      </w:r>
      <w:r>
        <w:t>https://mcp.opencaselaw.ch/entscheid/bger_4A_531_2024</w:t>
      </w:r>
    </w:p>
    <w:p>
      <w:r>
        <w:t>FR: TF 4A_531/2024 du 21 février 2025</w:t>
      </w:r>
    </w:p>
    <w:p>
      <w:r>
        <w:t>IT: TF 4A_531/2024 del 21 febbraio 2025</w:t>
      </w:r>
    </w:p>
    <w:p>
      <w:pPr>
        <w:pStyle w:val="Heading2"/>
      </w:pPr>
      <w:r>
        <w:t>Erwägungen</w:t>
      </w:r>
    </w:p>
    <w:p>
      <w:r>
        <w:rPr>
          <w:b/>
        </w:rPr>
        <w:t>E. 1</w:t>
      </w:r>
    </w:p>
    <w:p>
      <w:r>
        <w:t>En cas de décès d'une partie, il ne se justifie de suspendre la procédure devant le Tribunal fédéral, conformément à l' art. 6 al. 2 PCF en liaison avec l' art. 71 LTF , que si le sort du procès peut encore être influencé par les décisions des héritiers ou des liquidateurs (arrêt 4C.149/2004 du 18 mai 2004 consid. 2). Cela n'apparaît pas être le cas en l'espèce vu le sort du recours.</w:t>
      </w:r>
    </w:p>
    <w:p>
      <w:r>
        <w:rPr>
          <w:b/>
        </w:rPr>
        <w:t>E. 2</w:t>
      </w:r>
    </w:p>
    <w:p>
      <w:r>
        <w:t>Interjeté en temps utile (art. 45 al. 1 et 100 al. 1 LTF) par les locataires qui ont succombé dans leurs conclusions ( art. 76 al. 1 LTF ) et dirigé contre un arrêt final ( art. 90 LTF ) rendu sur appel par un tribunal cantonal supérieur ( art. 75 LTF ) dans une affaire de contestation du congé d'un bail ( art. 72 al. 1 LTF ), dont la valeur litigieuse atteint le seuil de 15'000 fr. requis en la matière ( art. 74 al. 1 let. a LTF ), le recours en matière civile est recevable au regard de ces dispositions. Demeure réservée, à ce stade, la recevabilité des griefs soulevés par les recourants.</w:t>
      </w:r>
    </w:p>
    <w:p>
      <w:r>
        <w:rPr>
          <w:b/>
        </w:rPr>
        <w:t>E. 3.1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4</w:t>
      </w:r>
    </w:p>
    <w:p>
      <w:r>
        <w:t>Les recourants se prévalent d'une violation de leur droit d'être entendus. Ils font valoir que la cour cantonale n'aurait pas traité leur grief en relation avec l'occupation du logement par la recourante A.________ et se plaignent également de constatations arbitraires des faits à cet égard.</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4A_266/2020 du 23 septembre 2020 consid. 4.1).</w:t>
      </w:r>
    </w:p>
    <w:p>
      <w:r>
        <w:rPr>
          <w:b/>
        </w:rPr>
        <w:t>E. 4.2</w:t>
      </w:r>
    </w:p>
    <w:p>
      <w:r>
        <w:t>On comprend de la motivation de la cour cantonale qu'elle n'a pas considéré l'occupation du logement par la recourante comme déterminante dès lors que le logement n'était pas occupé par le titulaire du bail depuis juillet 2017, soit deux ans avant son décès. Elle a exclu sur cette base l'application de l' art. 271a al. 1 let . f CO en faveur des recourants, spécialement la recourante. La motivation est limpide et on ne perçoit aucune violation du droit d'être entendus des recourants. Savoir si la cour a fait une correcte application de l' art. 271a CO relève du droit matériel et non du droit d'être entendu.</w:t>
      </w:r>
    </w:p>
    <w:p>
      <w:r>
        <w:rPr>
          <w:b/>
        </w:rPr>
        <w:t>E. 5</w:t>
      </w:r>
    </w:p>
    <w:p>
      <w:r>
        <w:t>Les recourants invoquent une violation de l' art. 271a al. 1 let . f CO. Selon eux, l'intimé n'avait pas de motif légitime de donner congé au moment de la résiliation et le motif donné en cours de procédure (le fait que le locataire était parti à l'étranger deux ans avant son décès) n'était pas connu du bailleur au moment de résilier. Pour les recourants, le ménage commun avec le locataire décédé ne serait pas une condition d'application de l' art. 271a al. 1 let . f CO.</w:t>
      </w:r>
    </w:p>
    <w:p>
      <w:r>
        <w:rPr>
          <w:b/>
        </w:rPr>
        <w:t>E. 5.1</w:t>
      </w:r>
    </w:p>
    <w:p>
      <w:r>
        <w:t>La cour cantonale a relevé que le locataire avait quitté Genève en juillet 2017 soit plus de deux ans avant son décès en (...) 2019. Les recourants avaient informé l'intimé du décès le 29 octobre 2020, en mentionnant le départ du locataire à Monaco et l'occupation du logement par la recourante. L'intimé avait résilié le bail le 27 novembre 2020. La cour cantonale a souligné que le locataire n'était plus domicilié à Genève et n'y résidait pas lors de son décès ce qui excluait l'application de l' art. 271a al. 1 let . f CO.</w:t>
      </w:r>
    </w:p>
    <w:p>
      <w:r>
        <w:rPr>
          <w:b/>
        </w:rPr>
        <w:t>E. 5.2.1</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et 271a CO ; ATF 148 III 215 consid. 3.1.2). Selon l' art. 271a al. 1 let . f CO, le congé d'un bail d'habitation est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(arrêt 4A_34/2017 du 18 avril 2017 consid. 5). La jurisprudence a toujours évoqué les héritiers adultes qui habitaient, à titre principal, le logement avec le défunt (cf. arrêt 4A_639/2018 du 21 novembre 2019 consid. 3.1 et les arrêts cités). La doctrine ne dit pas autre chose. Elle exclut spécifiquement la protection de l' art. 271a al. 1 let . f CO à la personne n'ayant pas fait ménage commun avec le défunt (PHILIPPE CONOD, in Droit du bail à loyer et à ferme, Bohnet/Carron/Montini [éd.], 2e éd. 2017, n. 54 ad art. 271a CO ).</w:t>
      </w:r>
    </w:p>
    <w:p>
      <w:r>
        <w:rPr>
          <w:b/>
        </w:rPr>
        <w:t>E. 5.2.2</w:t>
      </w:r>
    </w:p>
    <w:p>
      <w:r>
        <w:t>Il résulte de ce qui précède que l' art. 271a al. 1 let f CO appréhende la situation familiale du locataire, plus spécialement les personnes vivant avec lui. Une vie commune dans le logement est donc nécessaire pour que cette disposition ait une portée. Certes, de manière générale, le locataire n'a aucune obligation d'usage du logement qui lui a été remis par bail, sauf clause contractuelle contraire ( ATF 136 III 186 consid. 3.2.2). Il peut donc conférer un prêt à usage à un tiers ( ATF 136 III 186 consid. 3.2.3) voire une sous-location ( art. 262 CO ). Ces configurations ne sont cependant pas couvertes par l' art. 271a al. 1 let . f CO qui vise typiquement une modification de la situation familiale, ce qui implique nécessairement un ménage commun avec le locataire. En l'espèce, aucun ménage commun des recourants, particulièrement de la recourante, n'est établi avec le locataire au moment de son décès ou les années qui précèdent, celui-ci étant à l'étranger depuis 2017. On se trouve dès lors dans une situation non couverte par l' art. 271a al. 1 let . f CO et la recourante ne peut tirer aucune protection de cette disposition. La solution de la cour cantonale ne viole pas le droit fédéral.</w:t>
      </w:r>
    </w:p>
    <w:p>
      <w:r>
        <w:rPr>
          <w:b/>
        </w:rPr>
        <w:t>E. 5.3</w:t>
      </w:r>
    </w:p>
    <w:p>
      <w:r>
        <w:t>Les recourants invoquent également que le congé serait contraire aux règles de la bonne foi ( art. 271 CO ) pour le motif qu'au moment où il a été donné l'intimé connaissait uniquement le décès du locataire mais non qu'il ne vivait plus en Suisse. Le motif de congé (</w:t>
      </w:r>
    </w:p>
    <w:p>
      <w:r>
        <w:t>supra let. Ad) aurait été élaboré ultérieurement alors que le seul motif serait le décès. Cette argumentation des recourants n'est en rien autonome par rapport à l'annulation du congé qu'ils sollicitent en vertu de l' art. 271a al. 1 let . f CO, dont ils ne peuvent invoquer la protection comme vu ci-dessus.</w:t>
      </w:r>
    </w:p>
    <w:p>
      <w:r>
        <w:rPr>
          <w:b/>
        </w:rPr>
        <w:t>E. 6</w:t>
      </w:r>
    </w:p>
    <w:p>
      <w:r>
        <w:t>Invoquant l' art. 272 CO , les recourants affirment qu'une prolongation de quatre ans est justifiée. Ils relèvent que le bail ayant été résilié pour le 31 mars 2021, ils ont bénéficié de la prolongation requise en raison de la durée de la procédure.</w:t>
      </w:r>
    </w:p>
    <w:p>
      <w:r>
        <w:t>Le juge peut tenir compte de la durée de la procédure judiciaire qui prolonge en fait le bail (arrêt 4A_545/2013 du 28 novembre 2013 consid. 3.1). La cour cantonale a pris en compte la durée de la procédure (arrêt attaqué p. 15). Les recourants ont eux-mêmes conclu à une prolongation du bail de quatre ans, "dont ils ont déjà bénéficié par l'écoulement de la procédure". Dans cette configuration, les recourants ne disposent d'aucun intérêt digne de protection ( art. 76 al. 1 let. b LTF ). Leur grief est irrecevable.</w:t>
      </w:r>
    </w:p>
    <w:p>
      <w:r>
        <w:rPr>
          <w:b/>
        </w:rPr>
        <w:t>E. 7</w:t>
      </w:r>
    </w:p>
    <w:p>
      <w:r>
        <w:t>Le recours doit être rejeté dans la mesure de sa recevabilité. Les recourants, débiteurs solidaires, supportent les frais de procédure ( art. 66 al. 1 et 5 LTF ) et doivent verser des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