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4A_52/2026 vom 13. April 2026</w:t>
      </w:r>
    </w:p>
    <w:p>
      <w:r>
        <w:t>Bundesgericht, 2026-04-13, DE</w:t>
      </w:r>
    </w:p>
    <w:p>
      <w:r>
        <w:rPr>
          <w:b/>
        </w:rPr>
        <w:t xml:space="preserve">Quelle: </w:t>
      </w:r>
      <w:r>
        <w:t>https://mcp.opencaselaw.ch/entscheid/bger_4A_52_2026</w:t>
      </w:r>
    </w:p>
    <w:p>
      <w:r>
        <w:t>FR: TF 4A_52/2026 du 13 avril 2026</w:t>
      </w:r>
    </w:p>
    <w:p>
      <w:r>
        <w:t>IT: TF 4A_52/2026 del 13 aprile 2026</w:t>
      </w:r>
    </w:p>
    <w:p>
      <w:pPr>
        <w:pStyle w:val="Heading2"/>
      </w:pPr>
      <w:r>
        <w:t>Erwägungen</w:t>
      </w:r>
    </w:p>
    <w:p>
      <w:r>
        <w:rPr>
          <w:b/>
        </w:rPr>
        <w:t>E. 1</w:t>
      </w:r>
    </w:p>
    <w:p>
      <w:r>
        <w:t>Das Bundesgericht prüft von Amtes wegen und mit freier Kognition, ob ein Rechtsmittel zulässig ist (vgl. Art. 29 Abs. 1 BGG ; BGE 150 III 248 E. 1; 149 III 277 E. 3.1; 148 IV 155 E. 1.1).</w:t>
      </w:r>
    </w:p>
    <w:p>
      <w:r>
        <w:rPr>
          <w:b/>
        </w:rPr>
        <w:t>E. 1.1</w:t>
      </w:r>
    </w:p>
    <w:p>
      <w:r>
        <w:t>Angefochten ist der Endentscheid ( Art. 90 BGG ) einer letzten kantonalen Instanz, die über eine arbeitsrechtliche Streitigkeit und damit eine der Beschwerde in Zivilsachen unterliegende vermögensrechtliche Angelegenheit entschieden hat ( Art. 72 Abs. 1 BGG ). Der Streitwert übersteigt die in arbeitsrechtlichen Fällen geltende Grenze von Fr. 15'000.-- ( Art. 74 Abs. 1 lit. a BGG ). Der Beschwerdeführer ist im vorinstanzlichen Verfahren mit seinen Anträgen unterlegen ( Art. 76 Abs. 1 BGG ). Er hat zudem die Beschwerdefrist von Art. 100 Abs. 1 BGG eingehalten. Unter Vorbehalt einer hinreichenden Begründung ist demnach auf seine Beschwerde einzutreten ( Art. 42 Abs. 2 und Art. 106 Abs. 2 BGG ).</w:t>
      </w:r>
    </w:p>
    <w:p>
      <w:r>
        <w:rPr>
          <w:b/>
        </w:rPr>
        <w:t>E. 1.2</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Die Beweiswürdigung ist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w:t>
      </w:r>
    </w:p>
    <w:p>
      <w:r>
        <w:rPr>
          <w:b/>
        </w:rPr>
        <w:t>E. 2.1</w:t>
      </w:r>
    </w:p>
    <w:p>
      <w:r>
        <w:t>Die Vorinstanz erwog, der Beschwerdeführer habe von Anfang an gewusst, dass ihn einzig die C.________ AG für seine Arbeit im Haushalt des Beschwerdegegners mit monatlich Fr. 8'020.-- brutto entschädigen werde. Es sei kein Grund ersichtlich, weshalb der Beschwerdegegner dem Beschwerdeführer zusätzlich zu diesen Fr. 8'020.-- weiterhin die für das Probearbeitsverhältnis vereinbarten EUR 7'000.-- hätte bezahlen sollen. Ein Monatslohn von brutto Fr. 8'020.-- zuzüglich netto EUR 7'000.-- überschreite die branchenübliche Entschädigung für Koch-, Haus- und Chauffeurarbeiten deutlich. Der Beschwerdeführer habe nicht aufgezeigt, dass er nach Abschluss des Arbeitsvertrages mit der C.________ AG erheblich mehr habe arbeiten müssen und deshalb einen so hohen Lohn zugute habe. Nachdem der Beschwerdeführer und die C.________ AG einen Arbeitsvertrag abgeschlossen hätten, sei die Rechtsgrundlage für die Zahlung der EUR 7'000.-- dahingefallen. Wie die persönliche Assistentin des Beschwerdegegners als Zeugin bestätigt habe, sei sich der Beschwerdegegner seines nach Beendigung der Probezeit fortlaufenden Dauerauftrages nicht mehr bewusst gewesen. Bei einer versehentlich und ungewollt erbrachten Leistung liege keine Freiwilligkeit vor. In diesem Fall erübrige sich ein Irrtumsnachweis.</w:t>
      </w:r>
    </w:p>
    <w:p>
      <w:r>
        <w:rPr>
          <w:b/>
        </w:rPr>
        <w:t>E. 2.2</w:t>
      </w:r>
    </w:p>
    <w:p>
      <w:r>
        <w:t>Der Beschwerdeführer hält dem Folgendes entgegen: Nach der Probearbeitsphase habe er mit der C.________ AG einen Bruttomonatslohn von Fr. 8'020.-- vereinbart. Der Beschwerdegegner habe sich zudem verpflichtet, ihm weiterhin monatlich EUR 7'000.-- netto zu überweisen, wie jener dies zuvor bereits in der Probearbeitsphase getan habe. Der Beschwerdegegner habe seinen monatlichen Dauerauftrag über EUR 7'000.-- zu einem Zeitpunkt eingerichtet, als die Parteien bereits eine langfristige Zusammenarbeit beabsichtigt gehabt hätten. Folglich sei der Dauerauftrag keineswegs irrtümlich weitergelaufen. Die Vorinstanz hätte diesbezüglich nicht auf die unzutreffenden Aussagen der persönlichen Assistentin des Beschwerdegegners abstellen dürfen. Der Beschwerdegegner habe bereits bei Einrichtung des Dauerauftrages die Absicht gehabt, ihm neben dem Lohn der C.________ AG weiterhin EUR 7'000.-- zu bezahlen. Entsprechend sei seine Zahlung von insgesamt EUR 91'000.-- freiwillig erfolgt. Der Beschwerdegegner könne daher diesen Betrag nicht von ihm zurückfordern.</w:t>
      </w:r>
    </w:p>
    <w:p>
      <w:r>
        <w:t>Weiter macht der Beschwerdeführer geltend, sein Beschäftigungsumfang habe sich nach seinem Stellenantritt im Haushalt des Beschwerdegegners massiv erweitert. Neben dem Zubereiten der Mahlzeiten aller Familienangehörigen habe er auch zahlreiche weitere Arbeiten in dessen Liegenschaft verrichten müssen. Dazu zähle insbesondere der Unterhalt der Haustechnik, das Bewirtschaften des Gemüsegartens, die Kinderbetreuung oder die Fahrzeugpflege. Bei einem solch umfangreichen Pflichtenheft sei eine Entschädigung von Fr. 8'020.-- (brutto) zuzüglich EUR 7'000.-- (netto) angemessen. Während der Probeanstellung habe er netto EUR 7'000.-- verdient, was umgerechnet netto Fr. 7'805.70 entsprochen habe. Die Vorinstanz gehe fälschlicherweise davon aus, dass er danach nur noch einen Anspruch auf Fr. 8'020.-- brutto, mithin auf Fr. 6'383.55 netto, gehabt habe. Eine solche Lohnreduktion nach Ende der Probezeit sei unplausibel. Schliesslich habe ihm der Beschwerdegegner im Dezember 2021 unbestrittenermassen einen Bonus von EUR 14'000.--, das heisst zweimal EUR 7'000.--, ausgerichtet. Auch dieser Bonusbetrag bilde ein gewichtiges Indiz dafür, dass er Anspruch auf eine zusätzliche monatliche Entschädigung von EUR 7'000.-- gehabt habe.</w:t>
      </w:r>
    </w:p>
    <w:p>
      <w:r>
        <w:rPr>
          <w:b/>
        </w:rPr>
        <w:t>E. 2.3</w:t>
      </w:r>
    </w:p>
    <w:p>
      <w:r>
        <w:t>Die Ausführungen des Beschwerdeführers beschränken sich darauf, die Höhe seines Entschädigungsanspruchs und die Hintergründe des Dauerauftrages so darzustellen, wie sie sich aus seiner eigenen Sicht zugetragen haben. Dazu verweist er auf frühere Rechtsschriften und Beweismittel, aus denen er andere tatsächliche Schlüsse zieht als die Vorinstanz. Zudem schildert er ausführlich, welche zusätzlichen Aufgaben er im Haushalt des Beschwerdegegners ausgeübt habe. Damit erweitert er den von der Vorinstanz verbindlich festgestellten Sachverhalt unzulässig in seinem Sinn.</w:t>
      </w:r>
    </w:p>
    <w:p>
      <w:r>
        <w:t>Das Bundesgericht darf die Sachverhaltsfeststellungen einer Vorinstanz nur dann berichtigen und ergänzen, wenn sie offensichtlich unrichtig oder auf einer Rechtsverletzung im Sinne von Art. 95 BGG beruhen. Aus der Beschwerde geht indessen nicht hervor, dass die Vorinstanz den entscheidrelevanten Sachverhalt in einer solchen, qualifiziert falschen Weise festgestellt hätte. Ebenso wenig wird die Beweiswürdigung als willkürlich ausgewiesen. Der Beschwerdeführer hält den vorinstanzlichen Erwägungen bloss seine eigenen Behauptungen entgegen, zeigt aber nicht auf, weshalb die anderslautende Würdigung der Vorinstanz geradezu unhaltbar sein soll. Entsprechend kann er aus seinen abweichenden Ausführungen zum Geschehensablauf nichts zu seinen Gunsten ableiten. Mangels hinreichend begründeter Sachverhaltsrügen (E. 1.3) bzw. Willkürrügen (E. 1.4) bleibt der vorinstanzlich festgestellte Sachverhalt massgebend.</w:t>
      </w:r>
    </w:p>
    <w:p>
      <w:r>
        <w:t>Mit der Vorinstanz ist somit davon auszugehen, dass der Beschwerdegegner dem Beschwerdeführer irrtümlich und ohne Rechtspflicht EUR 91'000.-- bezahlt hat. Wie die Vorinstanz zutreffend erkannt hat, muss er dem Beschwerdegegner diesen Betrag zuzüglich Zinsen zurückzahlen ( Art. 63 Abs. 1 OR ).</w:t>
      </w:r>
    </w:p>
    <w:p>
      <w:r>
        <w:t>Dies führt zur Abweisung der Beschwerde.</w:t>
      </w:r>
    </w:p>
    <w:p>
      <w:r>
        <w:rPr>
          <w:b/>
        </w:rPr>
        <w:t>E. 3</w:t>
      </w:r>
    </w:p>
    <w:p>
      <w:r>
        <w:t>Dem Ausgang des Verfahrens entsprechend wird der Beschwerdeführer kosten- und entschädigungspflichtig ( Art. 66 Abs. 1 und Art. 68 Abs. 2 BGG ).</w:t>
      </w:r>
    </w:p>
    <w:p>
      <w:r>
        <w:rPr>
          <w:b/>
        </w:rPr>
        <w:t>E. 4</w:t>
      </w:r>
    </w:p>
    <w:p>
      <w:r>
        <w:t>Mit dem vorliegenden Endentscheid wird das Gesuch des Beschwerdeführers um aufschiebende Wirkung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