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52/2018 vom 6. März 2018</w:t>
      </w:r>
    </w:p>
    <w:p>
      <w:r>
        <w:t>Bundesgericht, 2018-03-06, IT</w:t>
      </w:r>
    </w:p>
    <w:p>
      <w:r>
        <w:rPr>
          <w:b/>
        </w:rPr>
        <w:t xml:space="preserve">Quelle: </w:t>
      </w:r>
      <w:r>
        <w:t>https://mcp.opencaselaw.ch/entscheid/bger_4A_52_2018</w:t>
      </w:r>
    </w:p>
    <w:p>
      <w:r>
        <w:t>FR: TF 4A 52/2018 du 6 mars 2018</w:t>
      </w:r>
    </w:p>
    <w:p>
      <w:r>
        <w:t>IT: TF 4A 52/2018 del 6 marzo 2018</w:t>
      </w:r>
    </w:p>
    <w:p>
      <w:pPr>
        <w:pStyle w:val="Heading2"/>
      </w:pPr>
      <w:r>
        <w:t>Regeste</w:t>
      </w:r>
    </w:p>
    <w:p>
      <w:r>
        <w:t>contratto di lavoro; disdetta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lettera 3 marzo 2012 la B.________SA ha licenziato con effetto immediato la sua impiegata A.________. Quest'ultima ha contestato la disdetta e ha escusso la predetta società. Nella susseguente causa il Pretore aggiunto del distretto di Lugano ha accolto limitatamente a fr. 7'740.55, oltre interessi, la petizione con cui la lavoratrice aveva chiesto di condannare la datrice di lavoro al pagamento di fr. 60'520.36 a titolo di indennità per licenziamento ingiustificato, torto morale, deduzione ingiustificata di contributi sociali e retribuzione di ore straordinarie. La II Camera civile del Tribunale di appello del Cantone Ticino ha, con sentenza 5 dicembre 2017, respinto, nella misura in cui era ricevibile, l'appello presentato da A.________.</w:t>
      </w:r>
    </w:p>
    <w:p>
      <w:r>
        <w:rPr>
          <w:b/>
        </w:rPr>
        <w:t>E. 2</w:t>
      </w:r>
    </w:p>
    <w:p>
      <w:r>
        <w:t>A.________ è insorta al Tribunale federale con ricorso in materia civile del 26 gennaio 2018 con cui postula l'annullamento della sentenza impugnata e la trasmissione dell'incarto all'autorità inferiore per nuova decisione. La ricorrente rimprovera alla Corte cantonale una violazione degli art. 9 CC e 179 CPC per non avere ritenuto documenti pubblici, che fanno piena prova di quanto attestano, i documenti richiamati dall'amministrazione federale delle dogane. In subordine contesta la valenza di due testimonianze agli atti e lamenta un accertamento manifestamente inesatto dei fatti. Non è stato ordinato uno scambio di scritti.</w:t>
      </w:r>
    </w:p>
    <w:p>
      <w:r>
        <w:rPr>
          <w:b/>
        </w:rPr>
        <w:t>E. 3</w:t>
      </w:r>
    </w:p>
    <w:p>
      <w:r>
        <w:t>I ricorsi al Tribunale federale hanno carattere riformativo, ragione per cui in linea di principio la parte ricorrente non può limitarsi a chiedere l'annullamento della decisione impugnata, ma deve formulare richieste di giudizio sostanziali ( DTF 137 II 313 consid. 1.3). Ne segue che in linea di principio il ricorrente deve formulare una conclusione sul merito della vertenza ( DTF 134 III 379 consid. 1.3). Una conclusione cassatoria (semplice domanda di annullamento della decisione impugnata o richiesta di rinvio della causa all'autorità inferiore per nuova decisione) è eccezionalmente ammissibile quando il Tribunale federale, in caso di accoglimento del ricorso, non potrebbe statuire sul merito del litigio perché mancano i necessari accertamenti di fatto, ma dovrebbe rinviare la causa all'autorità inferiore ( DTF 134 III 379 consid. 1.3; 133 III 489 consid. 3.1). Nella fattispecie la ricorrente si limita a chiedere l'annullamento della decisione cantonale e il rinvio dell'incarto all'autorità inferiore per nuovo giudizio. Ella non spiega perché i presupposti per ammettere la predetta eccezione sarebbero dati e dalla lettura delle censure ricorsuali, sostanzialmente attinenti all'apprezzamento delle prove, non è dato a vedere per quale motivo, nel caso in cui esse fossero fondate e pertinenti, il Tribunale federale non potrebbe giudicare nel merito la causa. Ne segue che il ricorso si rivela manifestamente inammissibile perché privo di richieste di giudizio riformative e va deciso dalla Presidente della Corte adita nella procedura semplificata ( art. 108 cpv. 1 lett. a LTF ).</w:t>
      </w:r>
    </w:p>
    <w:p>
      <w:r>
        <w:rPr>
          <w:b/>
        </w:rPr>
        <w:t>E. 4</w:t>
      </w:r>
    </w:p>
    <w:p>
      <w:r>
        <w:t>Le spese giudiziarie seguono la soccombenza ( art. 66 cpv. 1 LTF ), mentre non si giustifica assegnare ripetibili, atteso che l'opponente non è incorsa in spese, non essendo stata invitata a determinarsi sul ricorso. per questi motivi, la Presidente pronuncia: 1. Il ricorso è inammissibile. 2. Le spese giudiziarie di fr. 500.-- sono poste a carico della ricorrente. 3. Comunicazione ai patrocinatori delle parti e alla II Camera civile del Tribunale d'appello del Cantone Ticino. Losanna, 6 marzo 2018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