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4A_528/2012 vom 14. Dezember 2012</w:t>
      </w:r>
    </w:p>
    <w:p>
      <w:r>
        <w:t>Bundesgericht, 2012-12-14, FR</w:t>
      </w:r>
    </w:p>
    <w:p>
      <w:r>
        <w:rPr>
          <w:b/>
        </w:rPr>
        <w:t xml:space="preserve">Quelle: </w:t>
      </w:r>
      <w:r>
        <w:t>https://mcp.opencaselaw.ch/entscheid/bger_4A_528_2012</w:t>
      </w:r>
    </w:p>
    <w:p>
      <w:r>
        <w:t>FR: TF 4A_528/2012 du 14 décembre 2012</w:t>
      </w:r>
    </w:p>
    <w:p>
      <w:r>
        <w:t>IT: TF 4A_528/2012 del 14 dicembre 2012</w:t>
      </w:r>
    </w:p>
    <w:p>
      <w:pPr>
        <w:pStyle w:val="Heading2"/>
      </w:pPr>
      <w:r>
        <w:t>Erwägungen</w:t>
      </w:r>
    </w:p>
    <w:p>
      <w:r>
        <w:rPr>
          <w:b/>
        </w:rPr>
        <w:t>E. 1</w:t>
      </w:r>
    </w:p>
    <w:p>
      <w:r>
        <w:t>Le recourant et la banque ont été condamnés "conjointement et solidairement" à produire certains documents. Le recourant plaide qu'en raison de la manière dont cette condamnation est formulée, la banque est de facto partie à la procédure de recours qu'il a lui-même initiée. En réalité, il s'agit d'une obligation que, par nature, chacune des deux parties débitrices peut exécuter seule, sans le concours de l'autre; une condamnation à titre solidaire sous-entend nécessairement une telle faculté (cf. art. 147 CO ). Le terme conjointement n'y change rien; il exprime uniquement le fait que les deux débiteurs ont été "actionnés conjointement" dans une seule et même procédure en qualité de consorts simples ( art. 71 al. 1 CPC ; gemeinsam beklagt werden, essere convenute congiuntamente). Le recourant et la banque pouvaient donc chacun procéder indépendamment de l'autre ( art. 71 al. 3 CPC ).</w:t>
      </w:r>
    </w:p>
    <w:p>
      <w:r>
        <w:t>La banque n'a pas recouru contre l'arrêt la condamnant à produire les pièces. Partant, l'arrêt attaqué est entré en force à son égard. Elle n'est en conséquence plus partie à la procédure devant la cour de céans.</w:t>
      </w:r>
    </w:p>
    <w:p>
      <w:r>
        <w:t>La banque affirme s'être exécutée et avoir remis les pièces requises sous pli scellé au greffe de la Chambre cantonale, à charge pour celle-ci de les transmettre à qui de droit. Ce fait est expressément relevé dans un courrier du 28 septembre 2012 dont copie a été notifiée au recourant et à l'intimé; ces derniers n'ont pas contesté la réalité du dépôt dans leurs écrits postérieurs, si bien que ce fait peut être considéré comme incontesté. Il s'agit d'un fait nouveau qui fait suite à l'arrêt attaqué et qui est déterminant pour juger de la recevabilité du présent recours; il peut dès lors être retenu (cf. art. 99 LTF ; BERNARD CORBOZ, Commentaire de la LTF, 2009, n° 20 ss ad art. 99 LTF ). Il n'est en outre pas contesté que la banque a fourni toutes les pièces dont la production a été ordonnée dans l'arrêt attaqué, et que le recourant ne détient pas de documents supplémentaires. Le recourant l'admet à tout le moins implicitement dans ses courriers des 12 et 22 octobre 2012, lorsqu'il précise que son recours serait vidé de toute substance s'il fallait conclure que la banque n'est pas partie à la présente procédure. Quant à l'intimé et la banque, ils l'admettent expressément, le premier dans sa réponse du 4 octobre 2012, la seconde dans des courriers des 28 septembre et 3 octobre 2012. Il y a donc accord sur ce point.</w:t>
      </w:r>
    </w:p>
    <w:p>
      <w:r>
        <w:t>L'exécution d'une obligation solidaire par l'un des débiteurs solidaires éteint la dette envers le créancier et libère les autres débiteurs ( art. 147 CO ). L'extinction de l'obligation par l'un des débiteurs prive de tout objet la procédure divisant le créancier aux autres débiteurs solidaires. Il s'ensuit que le présent recours est sans objet sur la question principale.</w:t>
      </w:r>
    </w:p>
    <w:p>
      <w:r>
        <w:t>Il est vrai que l'arrêt attaqué met des frais et dépens à la charge du recourant, lequel a un intérêt légitime et actuel à obtenir l'annulation de cette condamnation (cf. ATF 117 Ia 251 consid. 1b p. 255). Toutefois, l'examen de la décision sur les frais et dépens ne saurait servir à contrôler de manière indirecte la décision au fond, alors que les griefs se rapportant à celle-ci sont sans objet ou irrecevables (cf. ATF 129 II 297 consid. 2.2 p. 300; 100 Ia 298 consid. 4 p. 299). Dans une telle hypothèse, le recourant doit invoquer d'autres motifs que ceux qu'il faisait valoir à propos de la question principale (cf. ATF 109 Ia 90 ; plus récemment, arrêt 4A_134/2012 du 16 juillet 2012 consid. 3). Tel n'est pas le cas en l'occurrence.</w:t>
      </w:r>
    </w:p>
    <w:p>
      <w:r>
        <w:rPr>
          <w:b/>
        </w:rPr>
        <w:t>E. 2</w:t>
      </w:r>
    </w:p>
    <w:p>
      <w:r>
        <w:t>Le recours est irrecevable. Le recourant supporte les frais et dépens de la procédure ( art. 66 et 68 LTF ). Il n'est pas alloué de dépens à la banque dès lors que celle-ci n'en demande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