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528/2011 vom 23. Januar 2012</w:t>
      </w:r>
    </w:p>
    <w:p>
      <w:r>
        <w:t>Bundesgericht, 2012-01-23, DE</w:t>
      </w:r>
    </w:p>
    <w:p>
      <w:r>
        <w:rPr>
          <w:b/>
        </w:rPr>
        <w:t xml:space="preserve">Quelle: </w:t>
      </w:r>
      <w:r>
        <w:t>https://mcp.opencaselaw.ch/entscheid/bger_4A_528_2011</w:t>
      </w:r>
    </w:p>
    <w:p>
      <w:r>
        <w:t>FR: TF 4A 528/2011 du 23 janvier 2012</w:t>
      </w:r>
    </w:p>
    <w:p>
      <w:r>
        <w:t>IT: TF 4A 528/2011 del 23 gennaio 2012</w:t>
      </w:r>
    </w:p>
    <w:p>
      <w:pPr>
        <w:pStyle w:val="Heading2"/>
      </w:pPr>
      <w:r>
        <w:t>Regeste</w:t>
      </w:r>
    </w:p>
    <w:p>
      <w:r>
        <w:t>Internationales Schiedsgericht | Schiedsgerichtsbarkeit</w:t>
      </w:r>
    </w:p>
    <w:p>
      <w:pPr>
        <w:pStyle w:val="Heading2"/>
      </w:pPr>
      <w:r>
        <w:t>Erwägungen</w:t>
      </w:r>
    </w:p>
    <w:p>
      <w:r>
        <w:rPr>
          <w:b/>
        </w:rPr>
        <w:t>E. 1</w:t>
      </w:r>
    </w:p>
    <w:p>
      <w:r>
        <w:t>Im Bereich der internationalen Schiedsgerichtsbarkeit ist die Beschwerde in Zivilsachen unter den Voraussetzungen der Art. 190-192 IPRG (SR 291) zulässig ( Art. 77 Abs. 1 lit. a BGG ).</w:t>
      </w:r>
    </w:p>
    <w:p>
      <w:r>
        <w:rPr>
          <w:b/>
        </w:rPr>
        <w:t>E. 1.1</w:t>
      </w:r>
    </w:p>
    <w:p>
      <w:r>
        <w:t>Der Sitz des Schiedsgerichts befindet sich vorliegend in Zürich. Die Beschwerdeführerin 4 und die Beschwerdegegner hatten im massgebenden Zeitpunkt ihren Wohnsitz bzw. Sitz oder ihren gewöhnlichen Aufenthalt nicht in der Schweiz. Da die Parteien die Bestimmungen des 12. Kapitels des IPRG nicht schriftlich ausgeschlossen haben, gelangen diese zur Anwendung ( Art. 176 Abs. 1 und 2 IPRG ).</w:t>
      </w:r>
    </w:p>
    <w:p>
      <w:r>
        <w:rPr>
          <w:b/>
        </w:rPr>
        <w:t>E. 1.2</w:t>
      </w:r>
    </w:p>
    <w:p>
      <w:r>
        <w:t>Auf eine Beschwerde kann nur eingetreten werden, wenn der Beschwerdeführer ein schutzwürdiges Interesse an der Aufhebung oder Änderung des angefochtenen Entscheids hat ( Art. 76 Abs. 1 lit. b BGG ; vgl. BGE 133 III 421 E. 1.1 S. 425 f.). Das Bundesgericht prüft grundsätzlich von Amtes wegen, ob auf eine Beschwerde eingetreten werden kann ( Art. 29 Abs. 1 BGG ). Die Beschwerdeführer beantragen in der Hauptsache die Aufhebung des Schiedsentscheids vom 30. Juni 2011 insgesamt. Indem der Einzelrichter jedoch mangels gültiger Vertretung auf die Schiedsklage der Beschwerdegegnerin 2 nicht eintrat (Dispositiv-Ziff. 1), entsprach er dem Hauptantrag der Beschwerdeführer. Ihnen fehlt insoweit das Rechtsschutzinteresse an der Aufhebung dieses Nichteintretensentscheids.</w:t>
      </w:r>
    </w:p>
    <w:p>
      <w:r>
        <w:rPr>
          <w:b/>
        </w:rPr>
        <w:t>E. 1.3</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119 II 380 E. 3b S. 382).</w:t>
      </w:r>
    </w:p>
    <w:p>
      <w:r>
        <w:rPr>
          <w:b/>
        </w:rPr>
        <w:t>E. 1.4</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133 III 139 E. 5 S. 141; 129 III 727 E. 5.2.2 S. 733; je mit Hinweisen). Wer sich auf eine Ausnahme von der Bindung des Bundesgerichts an die tatsächlichen Feststellungen der Vorinstanz beruft und den Sachverhalt gestützt darauf berichtigt oder ergänzt wissen will, hat mit Aktenhinweisen darzulegen, dass entsprechende Sachbehauptungen bereits im vorinstanzlichen Verfahren prozesskonform aufgestellt worden sind (vgl. BGE 115 II 484 E. 2a S. 486; 111 II 471 E. 1c S. 473; je mit Hinweisen).</w:t>
      </w:r>
    </w:p>
    <w:p>
      <w:r>
        <w:rPr>
          <w:b/>
        </w:rPr>
        <w:t>E. 2</w:t>
      </w:r>
    </w:p>
    <w:p>
      <w:r>
        <w:t>Die Beschwerdeführer bringen vor, die Zeugeneinvernahme von Rechtsanwalt M.________ sei in Verletzung des rechtlichen Gehörs ( Art. 190 Abs. 2 lit. d IPRG ) verweigert worden.</w:t>
      </w:r>
    </w:p>
    <w:p>
      <w:r>
        <w:rPr>
          <w:b/>
        </w:rPr>
        <w:t>E. 2.1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 BGE 130 III 35 E. 5 S. 37 f.; 128 III 234 E. 4b S. 243; 127 III 576 E. 2c S. 578 f.).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130 III 35 E. 5 S. 38; 127 III 576 E. 2c S. 578 f.; je mit Hinweisen). Auch im schiedsgerichtlichen Verfahren gilt der Gehörsanspruch nicht unbegrenzt. So ist es dem Schiedsgericht nicht verboten, den Sachverhalt nur aufgrund der als tauglich und erheblich erachteten Beweismittel festzustellen ( BGE 119 II 386 E. 1b S. 389; 116 II 639 E. 4c S. 644). Das Schiedsgericht kann daher auf eine Beweisabnahme verzichten, wenn der entsprechende Beweisantrag eine nicht rechtserhebliche Tatsache betrifft, wenn das angebotene Beweismittel offensichtlich untauglich ist oder wenn das Gericht aufgrund der bereits abgenommenen Beweise seine Überzeugung gebildet hat und in vorweggenommener Beweiswürdigung annehmen kann, dass seine Überzeugung durch weitere Beweiserhebungen nicht geändert würde (vgl. dazu BGE 134 I 140 E. 5.3; 130 II 425 E. 2.1 S. 429 ; 124 I 208 E. 4a). Die antizipierte Würdigung von Beweisen durch ein internationales Schiedsgericht kann im Beschwerdeverfahren nur unter dem beschränkten Blickwinkel einer Verletzung des Ordre public überprüft werden (Urteile 4A_600/2010 vom 17. März 2011 E. 4.1; 4P.23/2006 vom 27. März 2006 E. 3.1; 4P.114/2003 vom 14. Juli 2003 E. 2.2).</w:t>
      </w:r>
    </w:p>
    <w:p>
      <w:r>
        <w:rPr>
          <w:b/>
        </w:rPr>
        <w:t>E. 2.2</w:t>
      </w:r>
    </w:p>
    <w:p>
      <w:r>
        <w:t>Die Beschwerdeführer verkennen diese Grundsätze, wenn sie die rechtshilfeweise Einvernahme des Zeugen M.________ entgegen den schiedsgerichtlichen Erwägungen als tauglich bezeichnen und die vom Schiedsgericht angeführten Gründe für die verweigerte Zeugeneinvernahme in appellatorischer Weise kritisieren. Der Einzelschiedsrichter hat nach dem Hearing vom 13. Mai 2011 mit Verfügung Nr. 5 vom 6. Juni 2011 unter Verweis auf die anwendbaren Verfahrensbestimmungen erwogen, die Beschwerdeführer hätten ihre Bemühungen, spätestens mit ihrer Duplikschrift schriftliche Zeugenaussagen ("witness statements") von M.________ beizubringen, nicht aufgezeigt. Zudem folge aus den Vorbringen der Beschwerdeführer selber, dass der angerufene Zeuge zu einer Aussage bereit gewesen wäre, weshalb ihnen möglich gewesen wäre, innert Frist zur Replik entweder schriftliche Zeugenaussagen einzureichen oder zumindest Nachweise dafür beizubringen, dass solche Unterlagen trotz entsprechender Bemühungen nicht fristgerecht zu beschaffen waren. Im Weiteren hat der Einzelschiedsrichter die Verweigerung der rechtshilfeweisen Einvernahme in derselben Verfügung damit begründet, dass das Beweismittel nicht tauglich sei, zumal der angerufene Zeuge im Zusammenhang mit dem strittigen Mandatsvertrag weder als Partei noch als Parteivertreter aufgetreten und die Bedeutung sowie der Mechanismus der gemeinschaftlichen Berechtigung ausserdem urkundlich (in Form der Confirmation of Fiduciary Holdings) dokumentiert sei. In einer weiteren Verfügung Nr. 6 vom 14. Juni 2011, mit der ein Wiedererwägungsgesuch der Beschwerdeführer abgewiesen wurde, bekräftigte der Einzelschiedsrichter seine Ansicht, dass dem beantragten Beweismittel die Tauglichkeit abzusprechen sei und wies im Übrigen darauf hin, dass die Beschwerdeführer nicht einmal substantiiert hätten, inwiefern M.________ an den massgebenden Vertragsverhandlungen beteiligt gewesen sei und seine Aussagen im Hinblick auf die zur Diskussion stehenden vertraglichen Vereinbarungen von Bedeutung sein könnten. Die Beschwerdeführer zeigen keine Gehörsverletzung auf, wenn sie sich darauf beschränken, die angeführten Gründe für die Verweigerung der rechtshilfeweisen Einvernahme in appellatorischer Weise zu kritisieren und den schiedsgerichtlichen Erwägungen lediglich ihre eigene Sicht der Dinge sowie ihre Rechtsauffassung hinsichtlich der (angeblich gemeinschaftlichen) Ausübung der Auskunftsrechte entgegenhalten. Ebenso wenig zeigen sie einen gesetzlich vorgesehenen Rügegrund ( Art. 190 Abs. 2 IPRG ) auf, wenn sie dem Schiedsgericht willkürliche oder aktenwidrige Sachverhaltsfeststellungen vorwerfen. Von vornherein unbeachtlich sind ihre Ausführungen, soweit sie vor Bundesgericht - in Abweichung zu den schiedsgerichtlichen Feststellungen - nunmehr vorbringen (vgl. Art. 99 Abs. 1 BGG ), der angerufene Zeuge sei an den Verhandlungen zum Abschluss der Mandatsverträge mit den vier Berechtigten beteiligt gewesen. Dass die vorweggenommene Beweiswürdigung des Einzelschiedsrichters den Ordre public verletzen würde ( Art. 190 Abs. 2 lit. e IPRG ), machen die Beschwerdeführer zu Recht nicht geltend. Der Vorwurf der Gehörsverletzung ( Art. 190 Abs. 2 lit. d IPRG ) im Zusammenhang mit der beantragten rechtshilfeweisen Zeugeneinvernahme von M.________ ist nicht gerechtfertigt.</w:t>
      </w:r>
    </w:p>
    <w:p>
      <w:r>
        <w:rPr>
          <w:b/>
        </w:rPr>
        <w:t>E. 3.1</w:t>
      </w:r>
    </w:p>
    <w:p>
      <w:r>
        <w:t>Die Beschwerdeführer behaupten unter dem Titel "Verletzung rechtlich geschützter Positionen Dritter" die fehlende Zuständigkeit des Schiedsgerichts ( Art. 190 Abs. 2 lit. b IPRG ) sowie eine Verletzung des Ordre public ( Art. 190 Abs. 2 lit. e IPRG ). Inwiefern ein Beschwerdegrund nach Art. 190 Abs. 2 lit. b und e IPRG gegeben sein soll, legen die Beschwerdeführer jedoch mit keinem Wort dar. Damit verfehlen sie die gesetzlichen Begründungsanforderungen ( Art. 77 Abs. 3 BGG ). Sie zeigen weder eine Verletzung der Zuständigkeitsvorschriften noch des Ordre public auf, wenn sie dem Schiedsgericht im Zusammenhang mit dessen Erwägungen zur Einschränkung der auftragsrechtlichen Auskunftspflicht durch das Anwaltsgeheimnis vorwerfen, die schiedsgerichtlichen Ausführungen seien "nicht mehr nachvollziehbar bzw. schlicht rechtswidrig und willkürlich". Abgesehen davon, dass sich die Beschwerdeführer über weite Strecken auf behauptete Sachverhaltselemente berufen, die sich dem angefochtenen Entscheid nicht entnehmen lassen (vgl. Art. 105 Abs. 1 BGG ) oder erst nach dem Schiedsentscheid zugetragen haben (vgl. Art. 99 Abs. 1 BGG ), kritisieren sie richtig besehen lediglich in unzulässiger Weise die Erwägungen des angefochtenen Entscheids, mit denen der Einzelschiedsrichter die auf das Anwaltsgeheimnis gestützten Einwände der Beschwerdeführer gegen ihre auftragsrechtliche Auskunftspflicht entkräftet. Die Vorbringen der Beschwerdeführer stossen ins Leere.</w:t>
      </w:r>
    </w:p>
    <w:p>
      <w:r>
        <w:rPr>
          <w:b/>
        </w:rPr>
        <w:t>E. 3.2</w:t>
      </w:r>
    </w:p>
    <w:p>
      <w:r>
        <w:t>Keine Verletzung des Orde public ( Art. 190 Abs. 2 lit. e IPRG ) zeigen die Beschwerdeführer auf, wenn sie die schiedsgerichtlichen Feststellungen zu den Funktionen des Beschwerdeführers 2 als falsch und aktenwidrig bezeichnen. Ebenso wenig zeigen sie einen gesetzlich vorgesehenen Beschwerdegrund auf, indem sie beanstanden, der angefochtene Entscheid lasse jegliche Begründung vermissen, weshalb die Beschwerdeführer 1 - 3 auskunftspflichtig sein sollen. Nach der bundesgerichtlichen Rechtsprechung lässt sich aus Art. 190 Abs. 2 lit. d IPRG kein Anspruch auf Begründung ableiten ( BGE 134 III 186 E. 6.1 S. 187 f. mit Hinweisen).</w:t>
      </w:r>
    </w:p>
    <w:p>
      <w:r>
        <w:rPr>
          <w:b/>
        </w:rPr>
        <w:t>E. 3.3</w:t>
      </w:r>
    </w:p>
    <w:p>
      <w:r>
        <w:t>Die gesetzlichen Begründungsanforderungen ( Art. 77 Abs. 3 BGG ) verfehlen auch die mit "Keine relevanten Tätigkeiten der Beschwerdeführer 2 und 3" überschriebenen Ausführungen in der Beschwerde. Die Beschwerdeführer üben lediglich unter Verweis auf verschiedenste Aktenstücke des Schiedsverfahrens appellatorische Kritik am angefochtenen Entscheid.</w:t>
      </w:r>
    </w:p>
    <w:p>
      <w:r>
        <w:rPr>
          <w:b/>
        </w:rPr>
        <w:t>E. 4</w:t>
      </w:r>
    </w:p>
    <w:p>
      <w:r>
        <w:t>Die Beschwerdeführer rügen, das Schiedsgericht habe ein Rechtsbegehren unbeurteilt gelassen ( Art. 190 Abs. 2 lit. c IPRG ).</w:t>
      </w:r>
    </w:p>
    <w:p>
      <w:r>
        <w:rPr>
          <w:b/>
        </w:rPr>
        <w:t>E. 4.1</w:t>
      </w:r>
    </w:p>
    <w:p>
      <w:r>
        <w:t>Sie machen geltend, die Beschwerdegegner hätten ursprünglich die Herausgabe der von L.________ gehaltenen C.________-Aktien verlangt. In ihrer Replik hätten die Beschwerdegegner ihr Rechtsbegehren modifiziert und hätten nur noch die Aushändigung von Fotokopien der Aktienzertifikate verlangt, was einem teilweisen Klagerückzug gleichkomme und - aufgrund des bedeutenden Werts der Aktien - bei den Kosten- und Entschädigungsfolgen zugunsten der Beschwerdeführer zu berücksichtigen gewesen wäre.</w:t>
      </w:r>
    </w:p>
    <w:p>
      <w:r>
        <w:rPr>
          <w:b/>
        </w:rPr>
        <w:t>E. 4.2</w:t>
      </w:r>
    </w:p>
    <w:p>
      <w:r>
        <w:t>Die Rüge geht fehl. Die Beschwerdeführer machen selber geltend, die Beschwerdegegner hätten ihren ursprünglichen Antrag abgeändert, womit das definitive Rechtsbegehren selbst nach der Darstellung in der Beschwerde keine Herausgabe von Aktien umfasste. Dieses Begehren wurde vom Einzelschiedsrichter beurteilt, weshalb keine Rede davon sein kann, er habe Rechtsbegehren unbeurteilt gelassen. Ob die Abänderung des Rechtsbegehrens seitens der Beschwerdegegner zulässig war, ob diese als Klageänderung oder - wie die Beschwerdeführer behaupten - als Klagerückzug zu beurteilen und welche Auswirkungen sie auf die Kosten- und Entschädigungsfolgen zeitigte, richtete sich nach der anwendbaren Schiedsordnung. Indem sich die Beschwerdeführer auf den Standpunkt stellen, die Änderung hätte zu einer abweichenden Kosten- und Entschädigungsfolge führen müssen, behaupten sie lediglich eine unzutreffende Anwendung von Verfahrensvorschriften, zeigen jedoch keinen in Art. 190 Abs. 2 IPRG vorgesehenen Beschwerdegrund auf. Abgesehen davon trifft die Behauptung, die Beschwerdegegner hätten zunächst die Herausgabe der von L.________ gehaltenen C.________-Aktien verlangt, nicht zu. Vielmehr hatten die Beschwerdegegner bereits in ihrer Schiedsklage vom 31. August 2011 ausdrücklich klargestellt, worauf sie in der Beschwerdeantwort zu Recht hinweisen, dass das Schiedsverfahren einzig die Rechenschaftsablegung durch die Beschwerdeführer betreffe, während die Übertragung der C.________-Aktien nicht Gegenstand des Verfahrens sei. Damit stossen auch die entsprechenden Vorbringen zu den Kosten- und Entschädigungsfolgen ins Leere, die mit dem Rückzug des angeblichen Begehrens auf Herausgabe der Aktien begründet werden. Einmal mehr zeigen die Beschwerdeführer keine Gehörsverletzung auf, wenn sie dem Schiedsgericht vorwerfen, es habe die Bezifferung des Streitwerts ungenügend begründet (vgl. BGE 134 III 186 E. 6.1 S. 187 f. mit Hinweisen), und sie gestützt darauf einen höheren Streitwert behaupten. Der Vorwurf, das Schiedsgericht habe Rechtsbegehren unbeurteilt gelassen ( Art. 190 Abs. 2 lit. c IPRG ), ist nicht stichhaltig. Den weiteren Ausführungen in der Beschwerde zu den Kosten- und Entschädigungsfolgen lassen sich keine hinreichend begründeten Rügen entnehmen. Auch darin kritisieren die Beschwerdeführer bloss in unzulässiger Weise die schiedsgerichtliche Festlegung des Streitwerts sowie die Kosten- und Entschädigungsfolgen und werfen dem Schiedsgericht Willkür vor, ohne einen zulässigen Beschwerdegrund aufzuzeigen.</w:t>
      </w:r>
    </w:p>
    <w:p>
      <w:r>
        <w:rPr>
          <w:b/>
        </w:rPr>
        <w:t>E. 5</w:t>
      </w:r>
    </w:p>
    <w:p>
      <w:r>
        <w:t>Die Beschwerde erweist sich als unbegründet und ist abzuweisen, soweit darauf eingetreten werden kann. Dem Ausgang des Verfahrens entsprechend werden die Beschwerdeführer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