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527/2023 vom 4. Januar 2024</w:t>
      </w:r>
    </w:p>
    <w:p>
      <w:r>
        <w:t>Bundesgericht, 2024-01-04, DE</w:t>
      </w:r>
    </w:p>
    <w:p>
      <w:r>
        <w:rPr>
          <w:b/>
        </w:rPr>
        <w:t xml:space="preserve">Quelle: </w:t>
      </w:r>
      <w:r>
        <w:t>https://mcp.opencaselaw.ch/entscheid/bger_4A_527_2023</w:t>
      </w:r>
    </w:p>
    <w:p>
      <w:r>
        <w:t>FR: TF 4A 527/2023 du 4 janvier 2024</w:t>
      </w:r>
    </w:p>
    <w:p>
      <w:r>
        <w:t>IT: TF 4A 527/2023 del 4 gennaio 2024</w:t>
      </w:r>
    </w:p>
    <w:p>
      <w:pPr>
        <w:pStyle w:val="Heading2"/>
      </w:pPr>
      <w:r>
        <w:t>Regeste</w:t>
      </w:r>
    </w:p>
    <w:p>
      <w:r>
        <w:t>Gesellschaftsrecht; Organisationsmangel, | Gesellschaftsrecht</w:t>
      </w:r>
    </w:p>
    <w:p>
      <w:pPr>
        <w:pStyle w:val="Heading2"/>
      </w:pPr>
      <w:r>
        <w:t>Erwägungen</w:t>
      </w:r>
    </w:p>
    <w:p>
      <w:r>
        <w:rPr>
          <w:b/>
        </w:rPr>
        <w:t>E. 1</w:t>
      </w:r>
    </w:p>
    <w:p>
      <w:r>
        <w:t>Das Bezirksgericht Hinwil (Einzelgericht im summarischen Verfahren) ordnete mit Urteil vom 21. August 2023 die Auflösung und Liquidation der Beschwerdeführerin nach den Vorschriften über den Konkurs an und beauftragte das Konkursamt Wetzikon mit dem Vollzug. Es bejahte einen Organisationsmangel der Beschwerdeführerin, zu deren Behebung es erfolglos Frist angesetzt hatte, weil die im Handelsregister eingetragene Adresse der Beschwerdeführerin nicht (mehr) Mittelpunkt ihrer administrativen Tätigkeit bilde sowie nicht die Adresse sei, an der ihr Mitteilungen aller Art physisch zugestellt werden könnten. Eine dagegen erhobene Berufung der Beschwerdeführerin wies das Obergericht des Kantons Zürich mit Urteil vom 27. September 2023 ab, soweit es darauf eintrat. Es wies dabei darauf hin, dass der Einzelrichter im summarischen Verfahren am Bezirksgericht Hinwil für ein Gesuch um Wiederherstellung der Frist zur Behebung des Organisationsmangels nach Art. 148 ZPO zuständig sei. Die Beschwerdeführerin erhob gegen dieses Urteil mit Eingabe vom 25. Oktober 2023 (Postaufgabe am 26. Oktober 2023) beim Bundesgericht Beschwerde. Mit Verfügung vom 1. November 2023 wurde festgehalten, dass der Beschwerde von Gesetzes wegen aufschiebende Wirkung zukomme, da sie sich gegen ein Gestaltungsurteil richte. Auf die Einholung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Beschwerdeführerin setzt sich in ihrer Eingabe vom 25./26. Oktober 2023 offensichtlich nicht hinreichend mit den einlässlichen Erwägungen im angefochtenen Urteil auseinander und zeigt nicht rechtsgenügend auf, inwiefern die Vorinstanz mit ihrem darauf gestützten Entscheid Bundesrecht verletzt hätte. Sie bestreitet lediglich pauschal, dass ein Organisationsmangel vorliege, indem u.a. die Gesellschaft im Schweizerischen Handelsregister eingetragen und die Gesellschaftsräumlichkeiten mit dem korrekten und aktuellen Adressat ebenfalls versehen und eingetragen seien. Damit erfüllt sie die vorgenannten Anforderungen an die Begründung einer Beschwerde an das Bundesgericht (Erwägung 2) offensichtlich nicht. Auf die Beschwerde ist somit mangels hinreichender Begründung nicht einzutreten ( Art. 108 Abs. 1 lit. b BGG ).</w:t>
      </w:r>
    </w:p>
    <w:p>
      <w:r>
        <w:rPr>
          <w:b/>
        </w:rPr>
        <w:t>E. 4</w:t>
      </w:r>
    </w:p>
    <w:p>
      <w:r>
        <w:t>D ie Gerichtskosten sind dem Verfahrensausgang entsprechend der Beschwerdeführerin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