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 524/2011 vom 16. Februar 2012</w:t>
      </w:r>
    </w:p>
    <w:p>
      <w:r>
        <w:t>Bundesgericht, 2012-02-16, DE</w:t>
      </w:r>
    </w:p>
    <w:p>
      <w:r>
        <w:rPr>
          <w:b/>
        </w:rPr>
        <w:t xml:space="preserve">Quelle: </w:t>
      </w:r>
      <w:r>
        <w:t>https://mcp.opencaselaw.ch/entscheid/bger_4A_524_2011</w:t>
      </w:r>
    </w:p>
    <w:p>
      <w:r>
        <w:t>FR: TF 4A 524/2011 du 16 février 2012</w:t>
      </w:r>
    </w:p>
    <w:p>
      <w:r>
        <w:t>IT: TF 4A 524/2011 del 16 febbraio 2012</w:t>
      </w:r>
    </w:p>
    <w:p>
      <w:pPr>
        <w:pStyle w:val="Heading2"/>
      </w:pPr>
      <w:r>
        <w:t>Regeste</w:t>
      </w:r>
    </w:p>
    <w:p>
      <w:r>
        <w:t>Verantwortlichkeit | Gesellschaftsrecht</w:t>
      </w:r>
    </w:p>
    <w:p>
      <w:pPr>
        <w:pStyle w:val="Heading2"/>
      </w:pPr>
      <w:r>
        <w:t>Erwägungen</w:t>
      </w:r>
    </w:p>
    <w:p>
      <w:r>
        <w:rPr>
          <w:b/>
        </w:rPr>
        <w:t>E. 1</w:t>
      </w:r>
    </w:p>
    <w:p>
      <w:r>
        <w:t>Das Bundesgericht prüft von Amtes wegen und mit freier Kognition, ob ein Rechtsmittel zulässig ist ( BGE 136 II 101 E. 1 S. 103, 470 E. 1 S. 472; 135 III 212 E. 1).</w:t>
      </w:r>
    </w:p>
    <w:p>
      <w:r>
        <w:rPr>
          <w:b/>
        </w:rPr>
        <w:t>E. 1.1</w:t>
      </w:r>
    </w:p>
    <w:p>
      <w:r>
        <w:t>Die Beschwerde richtet sich gegen einen verfahrensabschliessenden Rechtsmittelentscheid eines oberen kantonalen Gerichts ( Art. 90 BGG i.V.m. Art. 75 BGG ), ist innert der Beschwerdefrist ( Art. 100 BGG ) von der mit ihren Rechtsbegehren unterlegenen Partei ( Art. 76 Abs. 1 BGG ) eingereicht worden und bei der Streitsache handelt es sich um eine Zivilsache ( Art. 72 BGG ) mit einem Streitwert von Fr. 30'000.-- ( Art. 74 Abs. 1 lit. b BGG ).</w:t>
      </w:r>
    </w:p>
    <w:p>
      <w:r>
        <w:rPr>
          <w:b/>
        </w:rPr>
        <w:t>E. 1.2</w:t>
      </w:r>
    </w:p>
    <w:p>
      <w:r>
        <w:t>Mit der Beschwerde in Zivilsachen kann die Verletzung von Bundesrecht einschliesslich Bundesverfassungsrecht gerügt werden ( Art. 95 lit. a BGG ; BGE 134 III 379 E. 1.2). Nicht zu den in Art. 95 BGG vorgesehenen Rügegründen gehört hingegen die Verletzung der kantonalen Zivilprozessordnung, deren Anwendung und Auslegung vom Bundesgericht einzig unter dem Blickwinkel eines Verstosses gegen Bundesrecht bzw. gegen Bundesverfassungsrecht beurteilt werden kann ( BGE 136 I 241 E. 2.4; 135 III 513 E. 4.3 S. 521; 134 III 379 E. 1.2 S. 382 f.). Auf das Verfahren vor der Vorinstanz fand gemäss Art. 404 Abs. 1 ZPO noch die nunmehr aufgehobene Zivilprozessordnung des Kantons Zürich Anwendung. Soweit die Verletzung von Normen des kantonalen Zivilprozessrechts gerügt wird, ist in der Beschwerdeschrift mithin darzutun, dass dabei gleichzeitig ein Verstoss gegen Bundes- bzw. Bundesverfassungsrecht vorliegt (vgl. Urteil 4A_339/2011 vom 23. November 2011 E. 1.4). Dies verkennt die Beschwerdeführerin, wenn sie der Vorinstanz die Verletzung des (kantonalrechtlichen) "Dispositions- und Verhandlungsprinzips" vorwirft, ohne gleichzeitig eine hinreichend substanziierte Verfassungsrüge vorzubringen. Darauf ist nicht einzutreten.</w:t>
      </w:r>
    </w:p>
    <w:p>
      <w:r>
        <w:rPr>
          <w:b/>
        </w:rPr>
        <w:t>E. 1.3</w:t>
      </w:r>
    </w:p>
    <w:p>
      <w:r>
        <w:t>Das Bundesgericht wendet das Recht von Amtes wegen an ( Art. 106 Abs. 1 BGG ; vgl. dazu BGE 132 II 257 E. 2.5 S. 262; 130 III 136 E. 1.4 S. 140). Es ist somit weder an die in der Beschwerde geltend gemachten Argumente noch an die Erwägungen der Vorinstanz gebunden; es kann eine Beschwerde aus einem anderen als dem angerufenen Grund gutheissen und es kann eine Beschwerde mit einer von der Argumentation der Vorinstanz abweichenden Begründung abweisen (vgl. BGE 133 II 249 E. 1.4.1 S. 254; 132 II 257 E. 2.5 S. 262; 130 III 136 E. 1.4 S. 140). Es prüft freilich unter Berücksichtigung der allgemeinen Begründungspflicht der Beschwerde ( Art. 42 Abs. 1 und 2 BGG ) grundsätzlich nur die geltend gemachten Rügen, sofern die rechtlichen Mängel nicht geradezu offensichtlich sind. Das Bundesgericht ist jedenfalls nicht gehalten, wie eine erstinstanzliche Behörde alle sich stellenden rechtlichen Fragen zu untersuchen, wenn diese vor Bundesgericht nicht mehr vorgetragen werden ( BGE 133 II 249 E. 1.4.1 S. 254 mit Hinweisen). Eine qualifizierte Rügepflicht gilt hinsichtlich der Verletzung von Grundrechten und von kantonalem und interkantonalem Recht. Das Bundesgericht prüft eine solche Rüge nur insofern, als sie in der Beschwerde präzise vorgebracht und begründet worden ist ( Art. 106 Abs. 2 BGG ). Unerlässlich ist im Hinblick auf Art. 42 Abs. 2 BGG , dass die Beschwerde auf die Begründung des angefochtenen Entscheids eingeht und im Einzelnen aufzeigt, worin eine Verletzung von Bundesrecht liegt. Die Beschwerdeführerin soll in der Beschwerdeschrift nicht bloss die Rechtsstandpunkte, die sie im kantonalen Verfahren eingenommen hat, erneut bekräftigen, sondern mit ihrer Kritik an den als rechtsfehlerhaft erachteten Erwägungen der Vorinstanz ansetzen (vgl. BGE 134 II 244 E. 2.1 S. 245 f.; 121 III 397 E. 2a S. 400; 116 II 745 E. 3 S. 749). Dabei hat die Begründung in der Beschwerdeschrift selbst zu erfolgen; Verweise auf andere Rechtsschriften, insbesondere im kantonalen Verfahren eingereichte, sind unbeachtlich (vgl. BGE 133 II 396 E. 3.1 S. 399 f.; 131 III 384 E. 2.3 S. 387 f., je mit Verweisen). Diese Grundsätze verkennt die Beschwerdeführerin, soweit sie der Vorinstanz eine Verletzung des rechtlichen Gehörs bzw. des "Beweisanspruchs i.S.v. Art. 8 ZGB " aufgrund einer angeblich "eigenständigen Verteidigung" zugunsten der Beschwerdegegner vorwirft. Die entsprechenden Vorbringen setzen nicht bzw. nicht in nachvollziehbarer Weise an den vorinstanzlichen Erwägungen an und erschöpfen sich letztlich in blossen Behauptungen. Darauf ist nicht einzugehen.</w:t>
      </w:r>
    </w:p>
    <w:p>
      <w:r>
        <w:rPr>
          <w:b/>
        </w:rPr>
        <w:t>E. 1.4</w:t>
      </w:r>
    </w:p>
    <w:p>
      <w:r>
        <w:t>Das Bundesgericht legt seinem Urteil den Sachverhalt zugrunde, den die Vorinstanz festgestellt hat ( Art. 105 Abs. 1 BGG ). Es kann die Sachverhaltsfeststellung der Vorinstanz nur berichtigen oder ergänzen, wenn sie offensichtlich unrichtig ist oder auf einer Rechtsverletzung im Sinne von Art. 95 BGG beruht ( Art. 105 Abs. 2 BGG ). Überdies muss die Behebung des Mangels für den Ausgang des Verfahrens entscheidend sein ( Art. 97 Abs. 1 BGG ). Neue Tatsachen und Beweismittel dürfen nur soweit vorgebracht werden, als der Entscheid der Vorinstanz dazu Anlass gibt ( Art. 99 Abs. 1 BGG ). Die Beschwerdeführerin, welche die Sachverhaltsfeststellungen der Vorinstanz anfechten will, muss substanziiert darlegen, inwiefern die Voraussetzungen einer Ausnahme gemäss Art. 105 Abs. 2 BGG gegeben sind und das Verfahren bei rechtskonformer Ermittlung des Sachverhalts anders ausgegangen wäre; andernfalls kann ein Sachverhalt, der vom im angefochtenen Entscheid festgestellten abweicht, nicht berücksichtigt werden. Auf eine Kritik an den tatsächlichen Feststellungen der Vorinstanz, die diesen Anforderungen nicht genügt, ist nicht einzutreten (vgl. BGE 133 III 350 E. 1.3 S. 351 f., 393 E. 7.1 S. 398, 462 E. 2.4 S. 466 f.). Diese Grundsätze verkennt die Beschwerdeführerin, soweit sie ihrer Beschwerdebegründung eine mehrseitige Sachverhaltsdarstellung voranstellt, in der sie die Hintergründe des Rechtsstreits und die Prozessgeschichte aus eigener Sicht schildert. Ihre Ausführungen enthalten keine hinreichend begründeten Sachverhaltsrügen und haben daher unbeachtet zu bleiben.</w:t>
      </w:r>
    </w:p>
    <w:p>
      <w:r>
        <w:rPr>
          <w:b/>
        </w:rPr>
        <w:t>E. 2</w:t>
      </w:r>
    </w:p>
    <w:p>
      <w:r>
        <w:t>Die Beschwerdeführerin wirft der Vorinstanz im Wesentlichen eine Verletzung von Art. 717 Abs. 1 OR i.V.m. Art. 754 OR vor, indem diese zum Schluss kam, dass die Opposition der Beklagten gegen die Verbeiständung der Z. W.________ AG keine Pflichtverletzung darstelle.</w:t>
      </w:r>
    </w:p>
    <w:p>
      <w:r>
        <w:rPr>
          <w:b/>
        </w:rPr>
        <w:t>E. 2.1</w:t>
      </w:r>
    </w:p>
    <w:p>
      <w:r>
        <w:t>Nach Art. 717 Abs. 1 OR müssen die Mitglieder des Verwaltungsrats ihre Aufgaben mit aller Sorgfalt erfüllen und die Interessen der Gesellschaft in guten Treuen wahren. Diese Treuepflicht charakterisiert sich als Interessenwahrungspflicht und gebietet, dass die Mitglieder des Verwaltungsrats ihr Verhalten am Geschäftsinteresse ausrichten und eigene Interessen gegebenenfalls zurückstellen, wobei ein strenger Massstab anzulegen ist. Besteht die Gefahr eines Interessenkonflikts, hat der betroffene Verwaltungsrat mittels geeigneter Massnahmen sicherzustellen, dass die Interessen der Gesellschaft gebührend berücksichtigt werden ( BGE 130 III 213 E. 2.2.2 S. 219 mit Hinweisen). Nach Art. 754 Abs. 1 OR sind die Mitglieder des Verwaltungsrats und alle mit der Geschäftsführung oder mit der Liquidation befassten Personen sowohl der Gesellschaft als den einzelnen Aktionären und Gesellschaftsgläubigern für den Schaden verantwortlich, den sie durch absichtliche oder fahrlässige Verletzung ihrer Pflichten verursachen. Die Haftung der Organe setzt eine schuldhafte Pflichtverletzung, einen Schaden und den adäquaten Kausalzusammenhang zwischen der Pflichtverletzung und dem Schaden voraus ( BGE 132 III 342 E. 4.1 S. 349).</w:t>
      </w:r>
    </w:p>
    <w:p>
      <w:r>
        <w:rPr>
          <w:b/>
        </w:rPr>
        <w:t>E. 2.2</w:t>
      </w:r>
    </w:p>
    <w:p>
      <w:r>
        <w:t>Die Vorinstanz erwog, dass die Beschwerdeführerin nicht aktivlegitimiert sei, selber eine Verantwortlichkeitsklage gegen die Organe der von der Z. W.________ AG zu 100 % gehaltenen Z.________ AG zu führen. Somit habe sie mit dem Gesuch um Errichtung einer Vertretungsbeistandschaft einzig das Ziel verfolgt, die Z. W.________ AG zu einem Verantwortlichkeitsprozess gegen die Organe ihrer Tochtergesellschaft zu bewegen. Um dieses Ziel zu erreichen, müsste aber nicht nur eine Beistandschaft zur Unterbrechung der Verjährung der Verantwortlichkeitsansprüche, sondern auch zu deren Durchsetzung im Prozess errichtet werden. Dabei liege auf der Hand, dass es kaum Sache der Vormundschaftsbehörde sein könne, mittels Verbeiständung der Z. W.________ AG einen riskanten Verantwortlichkeitsprozess gegen die Organe einer zu 100 % gehaltenen Tochtergesellschaft zu führen. Folglich sei kein plausibler Grund für die Verbeiständung ersichtlich und es könne den Beklagten keine Pflichtverletzung vorgeworfen werden, wenn diese sich dagegen gewehrt haben. Zudem komme eine Verbeiständung nur subsidiär in Betracht, wenn der Interessenkonflikt der Gesellschaftsorgane nicht mit anderen Mechanismen gelöst werden könne. Zwar könne die Beschwerdeführerin keine Verantwortlichkeitsklage gegen die Organe der Tochtergesellschaft führen, es stünde ihr als Minderheitsaktionärin der Muttergesellschaft aber offen, gegen deren Organe einen Verantwortlichkeitsprozess zu führen und diese für den bei der Tochtergesellschaft entstandenen Schaden wenigstens indirekt verantwortlich zu machen. Auch aus diesem Grund hätten sich die Beklagten gegen die nur als subsidiäres Instrument vorgesehene Verbeiständung wehren dürfen.</w:t>
      </w:r>
    </w:p>
    <w:p>
      <w:r>
        <w:rPr>
          <w:b/>
        </w:rPr>
        <w:t>E. 2.3</w:t>
      </w:r>
    </w:p>
    <w:p>
      <w:r>
        <w:t>Die gegen diese Erwägungen vorgetragenen Rügen der Beschwerdeführerin verfangen nicht. Die Beschwerdeführerin will die behauptete Pflichtverletzung der Beklagten aus dem Umstand ableiten, dass sich diese mit anwaltlicher Hilfe gegen die von der Vormundschaftsbehörde Wallisellen am 26. September 2007 angeordnete Verbeiständung der Z. W.________ AG gewehrt haben. Mit Beschluss vom 13. Dezember 2007 hat der Bezirksrat Bülach jedoch festgehalten, dass ein Vertretungsbedürfnis der Z. W.________ AG im vormundschaftsrechtlichen Sinne nicht besteht und die angeordnete Beistandschaft deshalb aufzuheben ist. Dieser Entscheid ist in Rechtskraft erwachsen. Damit steht fest, dass es sich bei der Verbeiständung der Z. W.________ AG um eine ungerechtfertigte Massnahme handelte. Eine solche kann aber nicht im Interesse der Gesellschaft stehen und den Beklagten kann daher nicht als Pflichtverletzung ausgelegt werden, sich dagegen mit anwaltlicher Hilfe zur Wehr gesetzt zu haben. Die Rüge der Beschwerdeführerin, die Vorinstanz habe eine Pflichtverletzung zu Unrecht verneint, erweist sich als unbegründet.</w:t>
      </w:r>
    </w:p>
    <w:p>
      <w:r>
        <w:rPr>
          <w:b/>
        </w:rPr>
        <w:t>E. 3</w:t>
      </w:r>
    </w:p>
    <w:p>
      <w:r>
        <w:t>Die Beschwerde ist abzuweisen, soweit darauf eingetreten werden kann. Bei diesem Verfahrensausgang wird die Beschwerdeführerin kostenpflichtig ( Art. 66 Abs. 1 BGG ). Da keine Beschwerdeantwort eingeholt wurde, ist hingegen keine Parteientschädigung zuzusprechen ( Art. 68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