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522/2016 vom 2. Dezember 2016</w:t>
      </w:r>
    </w:p>
    <w:p>
      <w:r>
        <w:t>Bundesgericht, 2016-12-02, FR</w:t>
      </w:r>
    </w:p>
    <w:p>
      <w:r>
        <w:rPr>
          <w:b/>
        </w:rPr>
        <w:t xml:space="preserve">Quelle: </w:t>
      </w:r>
      <w:r>
        <w:t>https://mcp.opencaselaw.ch/entscheid/bger_4A_522_2016</w:t>
      </w:r>
    </w:p>
    <w:p>
      <w:r>
        <w:t>FR: TF 4A 522/2016 du 2 décembre 2016</w:t>
      </w:r>
    </w:p>
    <w:p>
      <w:r>
        <w:t>IT: TF 4A 522/2016 del 2 dicembre 2016</w:t>
      </w:r>
    </w:p>
    <w:p>
      <w:pPr>
        <w:pStyle w:val="Heading2"/>
      </w:pPr>
      <w:r>
        <w:t>Regeste</w:t>
      </w:r>
    </w:p>
    <w:p>
      <w:r>
        <w:t>arbitrage international | Juridiction arbitrale</w:t>
      </w:r>
    </w:p>
    <w:p>
      <w:pPr>
        <w:pStyle w:val="Heading2"/>
      </w:pPr>
      <w:r>
        <w:t>Erwägungen</w:t>
      </w:r>
    </w:p>
    <w:p>
      <w:r>
        <w:rPr>
          <w:b/>
        </w:rPr>
        <w:t>E. 1.1</w:t>
      </w:r>
    </w:p>
    <w:p>
      <w:r>
        <w:t>Par sentence finale du 29 juillet 2016, une avocate genevoise, statuant comme arbitre unique sous l'égide de la Swiss Chambers' Arbitration, a condamné le défendeur X.________, ressortissant algérien, à payer aux demandeurs A.Z.________, B.Z.________, C.Z.________ et D.Z.________, tous domiciliés en Suisse, en leur qualité d'héritiers de feu Z.________, décédé le 19 avril 2008, la somme de 1'219'592 euros, avec intérêts à 5% l'an dès le 12 mars 2015, en exécution d'une "Convention de remboursement et de rémunération" signée le 25 octobre 2001 par Z.________ et X.________.</w:t>
      </w:r>
    </w:p>
    <w:p>
      <w:r>
        <w:rPr>
          <w:b/>
        </w:rPr>
        <w:t>E. 1.2</w:t>
      </w:r>
    </w:p>
    <w:p>
      <w:r>
        <w:t>Le 14 septembre 2016, X.________, invoquant l' art. 190 al. 2 let . e LDIP, a formé un recours en matière civile au Tribunal fédéral en vue d'obtenir l'annulation de cette sentence. Les quatre demandeurs et intimés, tous représentés par le même avocat, ont conclu au rejet du recours. L'arbitre unique, qui a produit le dossier de la cause, a renoncé à formuler des observations au sujet du recours. Par lettre du 16 novembre 2016, le recourant a indiqué qu'il n'entendait pas déposer de réplique.</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de la conclusion prise par le recourant ou encore du motif de recours invoqué, aucune de ces conditions de recevabilité ne fait problème en l'espèce. Rien ne s'oppose donc à l'entrée en matière.</w:t>
      </w:r>
    </w:p>
    <w:p>
      <w:r>
        <w:rPr>
          <w:b/>
        </w:rPr>
        <w:t>E. 3</w:t>
      </w:r>
    </w:p>
    <w:p>
      <w:r>
        <w:t>Le recourant soulève un unique moyen, subdivisé en deux branches, par lequel il reproche à l'arbitre unique d'avoir violé l'ordre public matériel au sens de l' art. 190 al. 2 let . e LDIP.</w:t>
      </w:r>
    </w:p>
    <w:p>
      <w:r>
        <w:rPr>
          <w:b/>
        </w:rPr>
        <w:t>E. 3.1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4A_536 et 540/2016 du 26 octobre 2016 consid. 4.2). Il ne pourra le faire, cela va sans dire, que dans les limites des griefs admissibles contre ladite sentence, à savoir au regard des seuls griefs énumérés à l' art. 190 al. 2 LDIP lorsque l'arbitrage revêt un caractère international. En l'espèce, il est plus que douteux que le recourant ait rempli l'exigence de motivation ainsi définie. Force est, en effet, de constater qu'il n'indique pas, fût-ce brièvement, les motifs qui sous-tendent la sentence attaquée, mais se lance directement dans la critique de celle-ci, laissant ainsi le soin à la Cour de céans, pour savoir de quoi il en retourne, de parcourir elle-même la vingtaine de pages que l'arbitre unique a consacrées à la motivation juridique de la solution retenue. Or, ce n'est pas le rôle de l'autorité judiciaire suprême de la Confédération que d'aller sua sponte à la recherche des fondements juridiques de cette solution pour les confronter ensuite aux griefs formulés dans le recours. Le Tribunal fédéral, faut-il le rappeler, n'est pas une cour d'appel, et c'est encore plus vrai lorsque, comme en l'espèce, sa cognition est restreinte aux griefs invoqués et motivés par le recourant (cf. art. 77 al. 3 LTF ). Quoi qu'il en soit, le présent recours, fût-il recevable, ne pourrait qu'être rejeté pour les motifs indiqués ci-après.</w:t>
      </w:r>
    </w:p>
    <w:p>
      <w:r>
        <w:rPr>
          <w:b/>
        </w:rPr>
        <w:t>E. 3.2</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w:t>
      </w:r>
    </w:p>
    <w:p>
      <w:r>
        <w:rPr>
          <w:b/>
        </w:rPr>
        <w:t>E. 3.2.1</w:t>
      </w:r>
    </w:p>
    <w:p>
      <w:r>
        <w:t>Dans une première branche de son moyen visant à démontrer la prétendue incompatibilité de la sentence attaquée avec l'ordre public matériel, le recourant soutient que cette sentence contrevient gravement au principe de la bonne foi en retenant que la destruction par les intimés de pièces essentielles à la constatation des faits n'est pas déterminante pour la répartition du fardeau de la preuve. Après avoir rappelé ce qu'il pense être la jurisprudence fédérale en la matière, énoncé les pièces dont il avait requis la production, exposé le sort réservé à sa requête dans la procédure ad hoc, dénommée Redfern Schedule (sur la procédure ainsi désignée, matérialisée par un tableau comprenant diverses colonnes, qui permet au tribunal arbitral ou à l'arbitre unique de se prononcer sur l'admissibilité des preuves requises, cf. GIRSBERGER/VOSER, International Arbitration, 3e éd. 2016, n. 997-999), l'intéressé s'en prend au "raisonnement" sur la base duquel les reproches adressés par lui aux intimés au sujet de la destruction d'un certain nombre de documents ont été écartés par l'arbitre unique (cf. sentence, n. 274). Il fait grief à ce dernier d'avoir gravement enfreint les règles relatives à la répartition du fardeau de la preuve et d'avoir contrevenu de ce fait au principe de la bonne foi. Le moyen est dénué de tout fondement. D'abord, ce qui vient d'être dit au sujet de la motivation minimum d'un recours dirigé contre une sentence arbitrale internationale (cf. consid. 3.1) s'applique au premier chef au grief présentement examiné, tant il est vrai qu'à la seule lecture de celui-ci on ne comprend pas où le recourant veut en venir. Ensuite, le "raisonnement" que le recourant critique consiste, en réalité, dans une appréciation des preuves qui a permis à l'arbitre unique de poser que "... rien ne permet de conclure que les héritiers ont délibérément détruit des documents dont ils savaient qu'ils seraient pertinents pour la résolution du litige. Le fait qu'ils aient gardé les documents qui concernent spécifiquement le défendeur [i.e. le recourant] (...) et qu'ils aient volontairement remis 479 pièces au défendeur pour les besoins de la présente procédure prouve bien le contraire" (sentence, n. 274 i.f.). Le recourant perd de vue, au demeurant, que l'application des règles sur le fardeau de la preuve est soustraite à l'examen du Tribunal fédéral lorsqu'il est saisi d'un recours en matière civile visant une sentence arbitrale internationale, car de telles règles ne font pas partie de l'ordre public matériel au sens de l' art. 190 al. 2 let . e LDIP (arrêt 4A_616/2015 du 20 septembre 2016 consid. 4.3.1 et les précédents cités). Pour le surplus, la violation du principe de la bonne foi imputée à l'arbitre unique relève du procès d'intention.</w:t>
      </w:r>
    </w:p>
    <w:p>
      <w:r>
        <w:rPr>
          <w:b/>
        </w:rPr>
        <w:t>E. 3.2.2</w:t>
      </w:r>
    </w:p>
    <w:p>
      <w:r>
        <w:t>Dans la seconde branche du même moyen, le recourant se plaint d'une violation du principe pacta sunt servanda commise à son détriment. Le principe de la fidélité contractuelle, rendu par l'adage 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4A_319/2015 du 5 janvier 2016 consid. 4.1). En l'espèce, l'arbitre unique a considéré que les intimés étaient titulaire d'une créance à l'encontre du recourant, que cette créance n'était pas prescrite et que le débiteur ne pouvait pas leur opposer la compensation pour se soustraire à son obligation d'honorer sa dette exigible envers les héritiers de la personne qui avait signé avec lui la "Convention de remboursement et de rémunération" du 25 octobre 2001. Ayant reconnu l'existence de cette créance, il a condamné le débiteur de celle-ci à en payer le montant aux créanciers. On ne voit pas en quoi, ce faisant, il se serait mis en contradiction avec le résultat de son interprétation de ladite convention. Le recourant objecte, si on le comprend bien, que l'arbitre unique se serait contredit en ce sens que, pour admettre l'existence de la créance litigieuse, il aurait considéré que Z.________ avait signé la convention de remboursement du 25 octobre 2001 en son propre nom et comme représentant indirect des deux sociétés mentionnées sur la première page de cette convention, ce qui lui conférait la légitimation active s'agissant de réclamer le versement du montant impayé indiqué dans ce contrat, tandis que, pour exclure la compensation, il aurait estimé que les versements opérés après la signature de la convention sur les comptes desdites sociétés n'avaient pas éteint sa dette à lui, le recourant, à due concurrence. Point n'est besoin d'examiner plus avant la réalité de la contradiction alléguée. Celle-ci existerait-elle, le sort de la cause n'en serait pas modifié. C'est, en effet, le lieu de rappeler que le moyen pris de l'incohérence intrinsèque des considérants d'une sentence n'entre pas dans la définition de l'ordre public matériel (arrêt 4A_150/2012 du 12 juillet 2012 consid. 5.2.1). Le second moyen est, dès lors, lui aussi voué à l'échec.</w:t>
      </w:r>
    </w:p>
    <w:p>
      <w:r>
        <w:rPr>
          <w:b/>
        </w:rPr>
        <w:t>E. 4</w:t>
      </w:r>
    </w:p>
    <w:p>
      <w:r>
        <w:t>Le recourant, qui succombe, devra payer les frais de la procédure fédérale ( art. 66 al. 1 LTF ) et verser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