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522/2011 vom 13. Januar 2012</w:t>
      </w:r>
    </w:p>
    <w:p>
      <w:r>
        <w:t>Bundesgericht, 2012-01-13, DE</w:t>
      </w:r>
    </w:p>
    <w:p>
      <w:r>
        <w:rPr>
          <w:b/>
        </w:rPr>
        <w:t xml:space="preserve">Quelle: </w:t>
      </w:r>
      <w:r>
        <w:t>https://mcp.opencaselaw.ch/entscheid/bger_4A_522_2011</w:t>
      </w:r>
    </w:p>
    <w:p>
      <w:r>
        <w:t>FR: TF 4A 522/2011 du 13 janvier 2012</w:t>
      </w:r>
    </w:p>
    <w:p>
      <w:r>
        <w:t>IT: TF 4A 522/2011 del 13 gennaio 2012</w:t>
      </w:r>
    </w:p>
    <w:p>
      <w:pPr>
        <w:pStyle w:val="Heading2"/>
      </w:pPr>
      <w:r>
        <w:t>Regeste</w:t>
      </w:r>
    </w:p>
    <w:p>
      <w:r>
        <w:t>Organisationsmangel | Gesellschaftsrecht</w:t>
      </w:r>
    </w:p>
    <w:p>
      <w:pPr>
        <w:pStyle w:val="Heading2"/>
      </w:pPr>
      <w:r>
        <w:t>Erwägungen</w:t>
      </w:r>
    </w:p>
    <w:p>
      <w:r>
        <w:rPr>
          <w:b/>
        </w:rPr>
        <w:t>E. 1</w:t>
      </w:r>
    </w:p>
    <w:p>
      <w:r>
        <w:t>Das Bundesgericht prüft von Amtes wegen und mit freier Kognition, ob ein Rechtsmittel zulässig ist ( BGE 136 II 101 E. 1 S. 103, 470 E. 1 S. 472; 135 III 212 E. 1).</w:t>
      </w:r>
    </w:p>
    <w:p>
      <w:r>
        <w:rPr>
          <w:b/>
        </w:rPr>
        <w:t>E. 1.1</w:t>
      </w:r>
    </w:p>
    <w:p>
      <w:r>
        <w:t>Die Beschwerde richtet sich gegen einen verfahrensabschliessenden Rechtsmittelentscheid eines oberen kantonalen Gerichts (Art. 75 i.V.m. Art. 90 BGG ), ist innert der Beschwerdefrist ( Art. 100 BGG ) von der mit ihren Rechtsbegehren unterlegenen Partei ( Art. 76 Abs. 1 BGG ) eingereicht worden und bei der Streitsache handelt es sich um eine Zivilsache ( Art. 72 BGG ) mit einem Fr. 30'000.-- übersteigenden Streitwert ( Art. 74 Abs. 1 lit. b BGG ).</w:t>
      </w:r>
    </w:p>
    <w:p>
      <w:r>
        <w:rPr>
          <w:b/>
        </w:rPr>
        <w:t>E. 1.2</w:t>
      </w:r>
    </w:p>
    <w:p>
      <w:r>
        <w:t>Das Bundesgericht prüft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 Unerlässlich ist im Hinblick auf Art. 42 Abs. 2 BGG , dass die Beschwerde auf die Begründung des angefochtenen Entscheids eingeht und im Einzelnen aufzeigt, worin eine Verletzung von Bundesrecht liegt. Die Beschwerdeführerin soll in der Beschwerdeschrift nicht bloss die Rechtsstandpunkte, die sie im kantonalen Verfahren eingenommen hat, erneut bekräftigen, sondern mit ihrer Kritik an den als rechtsfehlerhaft erachteten Erwägungen der Vorinstanz ansetzen (vgl. BGE 134 II 244 E. 2.1 S. 245 f.; 121 III 397 E. 2a S. 400; 116 II 745 E. 3 S. 749). Dabei hat die Begründung in der Beschwerdeschrift selbst zu erfolgen; Verweise auf andere Rechtsschriften, insbesondere im kantonalen Verfahren eingereichte, sind unbeachtlich (vgl. BGE 133 II 396 E. 3.1 S. 399 f.; 131 III 384 E. 2.3 S. 387 f., je mit Verweisen).</w:t>
      </w:r>
    </w:p>
    <w:p>
      <w:r>
        <w:rPr>
          <w:b/>
        </w:rPr>
        <w:t>E. 1.3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Die Beschwerdeführerin,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(vgl. BGE 133 III 350 E. 1.3 S. 351 f., 393 E. 7.1 S. 398, 462 E. 2.4 S. 466 f.). Diese Grundsätze verkennt die Beschwerdeführerin, soweit sie sich damit begnügt, ohne Auseinandersetzung mit den vorinstanzlichen Tatsachenfeststellungen auf fünf Seiten der Beschwerdeschrift ihre eigene Version des Sachverhalts darzustellen und mit der Behauptung zu schliessen, damit sei der "Sachverhalt unzutreffend subsumiert und Bundesrecht i.S.v. Art. 95 BGG verletzt". Substanziierte Sachverhaltsrügen lassen sich den Ausführungen der Beschwerdeführerin nicht entnehmen. Gemäss Art. 105 Abs. 1 BGG ist im Folgenden ausschliesslich auf den vorinstanzlich festgestellten Sachverhalt abzustellen.</w:t>
      </w:r>
    </w:p>
    <w:p>
      <w:r>
        <w:rPr>
          <w:b/>
        </w:rPr>
        <w:t>E. 2</w:t>
      </w:r>
    </w:p>
    <w:p>
      <w:r>
        <w:t>Die Beschwerdeführerin wirft der Vorinstanz eine Verletzung von Art. 731b OR vor. Der Verwaltungsrat der Beschwerdegegnerin befinde sich hinsichtlich der Frage, ob gegenüber den Organen der D.________ AG (Tochtergesellschaft) Verantwortlichkeitsansprüche zu prüfen und zu verfolgen seien, in einem Interessenkonflikt, da gewisse Verwaltungsräte der Beschwerdegegnerin auch im Verwaltungsrat der Tochtergesellschaft vertreten sind. Der Verwaltungsrat der Beschwerdegegnerin erweise sich damit als handlungsunfähig. Darin liege entgegen der Auffassung der Vorinstanz ein Organisationsmangel i.S. von Art. 731b OR .</w:t>
      </w:r>
    </w:p>
    <w:p>
      <w:r>
        <w:rPr>
          <w:b/>
        </w:rPr>
        <w:t>E. 2.1</w:t>
      </w:r>
    </w:p>
    <w:p>
      <w:r>
        <w:t>Gemäss dem auf 1. Januar 2008 in Kraft getretenen Art. 731b OR kann ein Aktionär, ein Gläubiger oder der Handelsregisterführer dem Richter beantragen, die erforderlichen Massnahmen zu ergreifen, falls der Gesellschaft eines der vorgeschriebenen Organe fehlt oder eines dieser Organe nicht rechtmässig zusammengesetzt ist (Abs. 1 Ingress). Der Richter kann insbesondere der Gesellschaft unter Androhung ihrer Auflösung eine Frist ansetzen, binnen derer der rechtmässige Zustand wieder herzustellen ist (Abs. 1 Ziff. 1), das fehlende Organ oder einen Sachwalter ernennen (Abs. 1 Ziff. 2) oder die Gesellschaft auflösen und ihre Liquidation nach den Vorschriften über den Konkurs anordnen (Abs. 1 Ziff. 3). Mit dieser Norm hat der Gesetzgeber eine einheitliche Ordnung für die Behebung und Sanktionierung organisatorischer Mängel innerhalb einer Gesellschaft geschaffen ( BGE 136 III 369 E. 11.4.1 mit Hinweisen). Dabei werden die Fälle, in denen von einem Mangel in der Organisation auszugehen ist, gegenüber dem bisherigen Recht nicht erweitert, sondern lediglich die vormals geltenden Vorschriften vereinheitlicht. Die Bestimmung erfasst diejenigen Fälle, in denen eine zwingende gesetzliche Vorgabe hinsichtlich der Organisation der Gesellschaft nicht oder nicht mehr eingehalten wird (Urteil 4A_457/2010 vom 5. Januar 2011 E. 2.2.1; HENRY PETER/FRANCESCA CAVADINI, in: Commentaire romand, Code des obligations II, 2008, N. 1 zu Art. 731b OR ; ROLF WATTER/CHARLOTTE WIESER, in: Basler Kommentar, Obligationenrecht II, 3. Aufl. 2008, N. 1 zu Art. 731b OR ; Botschaft vom 19. Dezember 2001 zur Revision des Obligationenrechts [GmbH-Recht sowie Anpassungen im Aktien-, Genossenschafts-, Handelsregister- und Firmenrecht], BBl 2002 3231 f.). Sie bezieht sich sowohl auf das Fehlen als auch die nicht rechtsgenügende Zusammensetzung obligatorischer Gesellschaftsorgane (Botschaft, a.a.O., 3231). Unter den Anwendungsbereich der nicht rechtsgenügenden Zusammensetzung des Organs zählen vor allem Fälle des Fehlens der gesetzlich zwingend vorgeschriebenen Mitglieder der Organe (z.B. des Verwaltungsratspräsidenten gemäss Art. 712 Abs. 1 OR ), der mangelnden Unabhängigkeit bzw. Befähigung der Revisionsstelle (v.a. Art. 727b und 728 OR ) oder der Nichterfüllung der gesetzlichen Wohnsitzerfordernisse ( Art. 718 Abs. 4 und Art. 730 Abs. 4 OR ; Botschaft, a.a.O, 3232; WATTER/WIESER, a.a.O., N. 6 zu Art. 731b OR ). Eine nicht rechtsgenügende Zusammensetzung liegt aber etwa auch dann vor, wenn ein gesetzlich vorgeschriebenes Organ nicht mehr handlungsfähig ist, so z.B. wenn aufgrund einer andauernden Pattsituation im Verwaltungsrat die Führung der Gesellschaft dauerhaft unmöglich geworden ist (Botschaft, a.a.O., 3232; WATTER/WIESER, a.a.O., N. 6 zu Art. 731b OR ).</w:t>
      </w:r>
    </w:p>
    <w:p>
      <w:r>
        <w:rPr>
          <w:b/>
        </w:rPr>
        <w:t>E. 2.2</w:t>
      </w:r>
    </w:p>
    <w:p>
      <w:r>
        <w:t>Die Vorinstanz hat sich in ihrem Entscheid zutreffend auf diese Grundsätze bezogen. Hinsichtlich des von der Beschwerdeführerin behaupteten Interessenkonfliktes führte die Vorinstanz aus, dass der Entscheid des Verwaltungsrats der Beschwerdegegnerin, nicht gegen die Organe der Tochtergesellschaft vorzugehen, durchaus von einer Interessenkollision beeinflusst sein möge, die sich daraus ergebe, dass einzelne Verwaltungsräte der Beschwerdegegnerin auch im Verwaltungsrat der Tochtergesellschaft vertreten sind (Doppelorganschaft). Dieser Umstand habe jedoch keine als Organisationsmangel i.S. von Art. 731b OR zu qualifizierende Handlungs- bzw. Funktionsunfähigkeit des Verwaltungsrats der Beschwerdegegnerin zur Folge. Bei ungenügender Wahrnehmung der Gesellschaftsinteressen der Beschwerdegegnerin stünde vielmehr eine Rechtsverletzung zur Diskussion, die allenfalls Schadenersatzansprüche nach sich ziehen könnte. Im Verzicht des Verwaltungsrates der Beschwerdegegnerin, gegen die Verwaltungsräte der Tochtergesellschaft eine Verantwortlichkeitsklage nach Art. 754 OR zu erheben, könne nämlich unter Umständen eine schädigende Handlung gegenüber der Muttergesellschaft liegen, weil sich etwa durch das Verjährenlassen einer Forderung der Tochtergesellschaft der Wert ihrer Beteiligung vermindere. Die Beschwerdeführerin hätte mithin die Möglichkeit, den durch die angeblich ungenügende Wahrung der Interessen der Muttergesellschaft entstandenen Schaden gestützt auf Art. 754 i.V.m. Art. 756 OR einzuklagen. Sie stehe dem von ihr beanstandeten Verhalten mithin nicht schutzlos gegenüber. Ein Organisationsmangel i.S. von Art. 731b OR liege aber nicht vor.</w:t>
      </w:r>
    </w:p>
    <w:p>
      <w:r>
        <w:rPr>
          <w:b/>
        </w:rPr>
        <w:t>E. 2.3</w:t>
      </w:r>
    </w:p>
    <w:p>
      <w:r>
        <w:t>Die Erwägungen der Vorinstanz sind bundesrechtlich nicht zu beanstanden. Der von der Beschwerdeführerin ins Feld geführte Interessenkonflikt ist Ausfluss des Einsitzes von Organträgern der Konzernmutter im Verwaltungsrat der Konzerntochter. Er ist einer Doppelorganschaft im Konzern geradezu inhärent. Zu einer Handlungsunfähigkeit des Verwaltungsrates der Konzernmutter führt ein solcher latenter Interessenkonflikt jedoch grundsätzlich nicht und stellt auch keine Verletzung zwingender gesetzlicher Vorgaben hinsichtlich der Gesellschaftsorganisation dar. Die Doppelorganschaft ist vielmehr ein in der schweizerischen Konzernpraxis weit verbreitetes und rechtlich zulässiges Mittel zur Durchsetzung der gesetzlich vorgesehenen Konzernleitung (vgl. Art. 663e OR ; dazu statt vieler ROLAND VON BÜREN, Der Konzern, in: Schweizerisches Privatrecht, Bd. VIII/6, 2. Aufl. 2005, S. 169, sodann auch S. 394 mit der Aussage, dass Doppelorgane "sozusagen zum Wesen des Konzerns" gehören). Als Mittel der Konzernleitung stellt die Doppelorganschaft (und der damit einhergehende latente Interessenkonflikt) keinen Organisationsmangel i.S. von Art. 731b OR dar. Die Organe der Beschwerdegegnerin sind denn auch offensichtlich fähig, Beschlüsse zu fassen und Handlungen vorzunehmen bzw. zu unterlassen. Von einer Handlungsunfähigkeit kann keine Rede sein. Die Rüge, die Vorinstanz habe Art. 731b OR verletzt, ist unbegründet.</w:t>
      </w:r>
    </w:p>
    <w:p>
      <w:r>
        <w:rPr>
          <w:b/>
        </w:rPr>
        <w:t>E. 3</w:t>
      </w:r>
    </w:p>
    <w:p>
      <w:r>
        <w:t>Die Beschwerde ist damit abzuweisen, soweit darauf eingetreten werden kann. Bei diesem Verfahrensausgang wird die Beschwerdeführerin kostenpflichtig ( Art. 66 Abs. 1 BGG ). Da keine Beschwerdeantwort eingeholt wurde, ist hingegen keine Parteientschädigung zu 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