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4A_520/2024 vom 13. Januar 2025</w:t>
      </w:r>
    </w:p>
    <w:p>
      <w:r>
        <w:t>Bundesgericht, 2025-01-13, DE</w:t>
      </w:r>
    </w:p>
    <w:p>
      <w:r>
        <w:rPr>
          <w:b/>
        </w:rPr>
        <w:t xml:space="preserve">Quelle: </w:t>
      </w:r>
      <w:r>
        <w:t>https://mcp.opencaselaw.ch/entscheid/bger_4A_520_2024</w:t>
      </w:r>
    </w:p>
    <w:p>
      <w:r>
        <w:t>FR: TF 4A_520/2024 du 13 janvier 2025</w:t>
      </w:r>
    </w:p>
    <w:p>
      <w:r>
        <w:t>IT: TF 4A_520/2024 del 13 gennaio 2025</w:t>
      </w:r>
    </w:p>
    <w:p>
      <w:pPr>
        <w:pStyle w:val="Heading2"/>
      </w:pPr>
      <w:r>
        <w:t>Erwägungen</w:t>
      </w:r>
    </w:p>
    <w:p>
      <w:r>
        <w:rPr>
          <w:b/>
        </w:rPr>
        <w:t>E. 1</w:t>
      </w:r>
    </w:p>
    <w:p>
      <w:r>
        <w:t>Die Beschwerde in Zivilsachen richtet sich gegen einen Endentscheid ( Art. 90 BGG ), der in einer Zivilsache ( Art. 72 BGG ) von einem oberen kantonalen Gericht als Rechtsmittelinstanz erlassen worden ist ( Art. 75 BGG ). Die Beschwerdeführerin ist mit ihren Anträgen unterlegen ( Art. 76 BGG ). Der Streitwert ist erreicht ( Art. 74 BGG ) und die Beschwerdefrist eingehalten. Auf die Beschwerde in Zivilsachen ist - unter Vorbehalt hinreichender Begründung ( Art. 42 Abs. 2 und Art. 106 Abs. 2 BGG ) - einzutreten.</w:t>
      </w:r>
    </w:p>
    <w:p>
      <w:r>
        <w:rPr>
          <w:b/>
        </w:rPr>
        <w:t>E. 2</w:t>
      </w:r>
    </w:p>
    <w:p>
      <w:r>
        <w:t>Beschwerden an das Bundesgericht sind hinreichend zu begründen, ansonsten darauf nicht eingetreten wird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3</w:t>
      </w:r>
    </w:p>
    <w:p>
      <w:r>
        <w:t>Die Beschwerdeführerin wirft der Vorinstanz eine Verletzung von Art. 311 Abs. 1 ZPO vor.</w:t>
      </w:r>
    </w:p>
    <w:p>
      <w:r>
        <w:rPr>
          <w:b/>
        </w:rPr>
        <w:t>E. 3.1</w:t>
      </w:r>
    </w:p>
    <w:p>
      <w:r>
        <w:t>Nach Art. 311 Abs. 1 ZPO muss die Berufung eine Begründung enthalten. Begründen im Sinne der genannten Bestimmung bedeutet aufzeigen, inwiefern der angefochtene Entscheid als fehlerhaft erachtet wird. Dieser Anforderung genügt die Berufungsklägerin nicht, wenn sie lediglich auf die vor erster Instanz vorgetragenen Vorbringen verweist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 BGE 141 III 569 E. 2.3.3; 138 III 374 E. 4.3.1). Sie kann sich nicht darauf beschränken, ihre in erster Instanz vorgebrachten Tatsachenbehauptungen oder rechtlichen Argumente zu wiederholen, sondern muss anhand der erstinstanzlich festgestellten Tatsachen oder der daraus gezogenen rechtlichen Schlüsse aufzeigen, inwiefern sich die Überlegungen des erstinstanzlichen Richters nicht aufrecht erhalten lassen (Urteile 4A_588/2023 vom 11. Juni 2024 E. 4.1.1; 5A_975/2020 vom 22. April 2021 E. 3.5; 4A_610/2018 vom 29. August 2019 E. 5.2.2.1 mit Hinweisen).</w:t>
      </w:r>
    </w:p>
    <w:p>
      <w:r>
        <w:t>Dabei müssen sämtliche entscheidtragenden Begründungsstränge des erstinstanzlichen Entscheids angefochten werden. Auf eine Berufung, mit der nicht gegen alle selbständigen Begründungen des angefochtenen Entscheids Rügen formuliert werden, ist von vornherein nicht einzutreten (Urteile 4A_187/2021 vom 22. September 2021 E. 3.4.1; 4A_614/2018 vom 8. Oktober 2019 E. 3.2; 4A_525/2014 vom 5. Mai 2015 E. 2 f.).</w:t>
      </w:r>
    </w:p>
    <w:p>
      <w:r>
        <w:rPr>
          <w:b/>
        </w:rPr>
        <w:t>E. 3.2</w:t>
      </w:r>
    </w:p>
    <w:p>
      <w:r>
        <w:t>Die Vorinstanz ist auf die Berufung nicht eingetreten, weil sich die Beschwerdeführerin in ihrer Berufungsschrift nicht im Einzelnen mit den erstinstanzlichen Erwägungen auseinandergesetzt habe. Sie habe es denn auch versäumt, sich mit sämtlichen selbständigen Erwägungen der Vorinstanz zum normativen Konsens auseinanderzusetzen. Somit habe die Beschwerdeführerin den Inhalt des erstinstanzlichen Urteils insgesamt nicht erfasst und ihre Berufung erschöpfe sich in der Kritik einzelner Ausführungen der Vorinstanz, ohne deren Verknüpfung mit anderen selbständigen Erwägungen zu berücksichtigen. Insbesondere zeige sie nicht auf, inwiefern das Urteil nicht mit den Akten und Beweisen und mit dem anwendbaren Recht vereinbar sei.</w:t>
      </w:r>
    </w:p>
    <w:p>
      <w:r>
        <w:rPr>
          <w:b/>
        </w:rPr>
        <w:t>E. 3.3</w:t>
      </w:r>
    </w:p>
    <w:p>
      <w:r>
        <w:t>Vor Bundesgericht beschränkt sich die Beschwerdeführerin im Wesentlichen auf die Behauptung, dass ihre 18-seitige Berufungsschrift die erstinstanzlichen Erwägungen sehr wohl "Punkt für Punkt" widerlege. Dies zeigt sie indessen gerade nicht im Einzelnen auf und sie geht namentlich auch nicht in einer den Begründungsanforderungen nach Art. 42 Abs. 2 BGG genügenden Weise auf das Argument der Vorinstanz ein, wonach sie sich nicht mit sämtlichen entscheidtragenden Begründungssträngen im erstinstanzlichen Entscheid auseinandergesetzt habe. Pauschale Verweise auf ihre Berufungsschrift, ohne darzutun, inwiefern sie sich darin mit sämtlichen selbständigen Erwägungen der Erstinstanz zum normativen Konsens auseinandergesetzt haben soll, genügen hierzu jedenfalls nicht. Ihre Rüge, die Vorinstanz habe Art. 311 Abs. 1 ZPO verletzt, geht damit zum Vornherein fehl.</w:t>
      </w:r>
    </w:p>
    <w:p>
      <w:r>
        <w:rPr>
          <w:b/>
        </w:rPr>
        <w:t>E. 4</w:t>
      </w:r>
    </w:p>
    <w:p>
      <w:r>
        <w:t>Soweit die Beschwerdeführerin sodann rügt, die Vorinstanz habe das anwendbare deutsche Recht fehlerhaft angewendet, verkennt sie, dass in vermögensrechtlichen Angelegenheiten die Anwendung von ausländischem Recht nur unter dem Blickwinkel der Willkür überprüft werden kann ( Art. 96 lit. a BGG</w:t>
      </w:r>
    </w:p>
    <w:p>
      <w:r>
        <w:t>e contrario ; BGE 143 II 350 E. 3.2; 133 III 466 E. 3.1.). Entsprechende Willkürrügen trägt sie nicht vor.</w:t>
      </w:r>
    </w:p>
    <w:p>
      <w:r>
        <w:rPr>
          <w:b/>
        </w:rPr>
        <w:t>E. 5</w:t>
      </w:r>
    </w:p>
    <w:p>
      <w:r>
        <w:t>Nach dem Gesagten ist die Beschwerde abzuweisen, soweit überhaupt darauf eingetreten werden kann.</w:t>
      </w:r>
    </w:p>
    <w:p>
      <w:r>
        <w:t>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