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4A_520/2015 vom 16. Dezember 2015</w:t>
      </w:r>
    </w:p>
    <w:p>
      <w:r>
        <w:t>Bundesgericht, 2015-12-16, FR</w:t>
      </w:r>
    </w:p>
    <w:p>
      <w:r>
        <w:rPr>
          <w:b/>
        </w:rPr>
        <w:t xml:space="preserve">Quelle: </w:t>
      </w:r>
      <w:r>
        <w:t>https://mcp.opencaselaw.ch/entscheid/bger_4A_520_2015</w:t>
      </w:r>
    </w:p>
    <w:p>
      <w:r>
        <w:t>FR: TF 4A_520/2015 du 16 décembre 2015</w:t>
      </w:r>
    </w:p>
    <w:p>
      <w:r>
        <w:t>IT: TF 4A_520/2015 del 16 dicembre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adressés au Tribunal fédéral, elles ont employé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 une sentence finale -, de la qualité pour recourir, du délai de recours, de la conclusion prise par la recourante ou encore du motif de recours invoqué, aucune de ces conditions de recevabilité ne fait problème en l'espèce. Ainsi, rien ne s'oppose à l'entrée en matière.</w:t>
      </w:r>
    </w:p>
    <w:p>
      <w:r>
        <w:rPr>
          <w:b/>
        </w:rPr>
        <w:t>E. 3.1</w:t>
      </w:r>
    </w:p>
    <w:p>
      <w:r>
        <w:t>Examinant l'art. 4.4 du</w:t>
      </w:r>
    </w:p>
    <w:p>
      <w:r>
        <w:t>SPA , le Tribunal arbitral est arrivé à la conclusion que son texte clair n'avait pas à être interprété et, partant, fondait le droit de l'intimée à réclamer à la recourante le paiement de la somme, du reste non litigieuse, calculée en application de cette clause. Aussi bien, Y.________ avait fixé le ratio CT1 en vigueur au 30 juin 2013 en dessous de 10% et la transaction avait été clôturée (sentence, n. 154 à 260).</w:t>
      </w:r>
    </w:p>
    <w:p>
      <w:r>
        <w:t>Les arbitres sont ensuite passés à l'examen de la seconde question soulevée par la recourante, à savoir la validité, contestée par cette dernière, de l'art. 4.4 du</w:t>
      </w:r>
    </w:p>
    <w:p>
      <w:r>
        <w:t>SPA au regard des règles impératives - lois de police ou d'ordre public - du droit... (sentence, n. 261 à 307). A cet égard, après avoir présenté les arguments des parties, ils se sont exprimés comme il suit (sentence, n. 279) :</w:t>
      </w:r>
    </w:p>
    <w:p>
      <w:r>
        <w:t>"The issues of whether the Arbitral Tribunal should consider the validity of Clause 4.4 under... [law] because the Z.________ guidelines are to be considered "lois de police", or because it is warranted by Article... of the... Code, are irrelevant in view of the approvals by the Z.________, the Y.________ (and other institutions) of the Transaction, as will be demonstrated below. The Arbitral Tribunal will thus focus on these approvals rather than proceed to a complex analysis of the law applicable to the validity of Clause 4.4, which in the instant case is not determinant to its decisions."</w:t>
      </w:r>
    </w:p>
    <w:p>
      <w:r>
        <w:t>Soit, en traduction libre:</w:t>
      </w:r>
    </w:p>
    <w:p>
      <w:r>
        <w:t>"Les questions de savoir si le Tribunal arbitral doit considérer la validité de la clause 4.4 au regard du [droit]... en raison du fait que les directives de Z.________ doivent être qualifiées de "lois de police", ou parce que l'article... du Code... le justifie, ne sont pas pertinentes au vu de l'approbation de la transaction par Z.________, Y.________ (et d'autres institutions), comme il sera démontré ci-dessous. Le Tribunal arbitral se concentrera dès lors sur ces approbations plutôt que de procéder à une analyse complexe du droit applicable à la validité de la clause 4.4, qui n'est pas déterminante dans la présente espèce pour ses décisions."</w:t>
      </w:r>
    </w:p>
    <w:p>
      <w:r>
        <w:t>Cette remarque faite, le Tribunal arbitral s'est employé ensuite à démontrer que Z.________ ne s'était pas contenté d'approuver la transaction dans ses grandes lignes, mais avait avalisé la clause litigieuse dans sa formulation exacte (sentence, n. 280 à 297, spéc. n. 290). Il a également constaté que Y.________ avait donné son aval à ladite transaction (sentence, n. 298 à 306), ce qui l'a amené à rejeter expressément la conclusion de la recourante visant à lui faire prononcer la nullité de l'art. 4.4 du</w:t>
      </w:r>
    </w:p>
    <w:p>
      <w:r>
        <w:t>SPA (sentence, n. 307).</w:t>
      </w:r>
    </w:p>
    <w:p>
      <w:r>
        <w:rPr>
          <w:b/>
        </w:rPr>
        <w:t>E. 3.2</w:t>
      </w:r>
    </w:p>
    <w:p>
      <w:r>
        <w:t>La recourante fait grief au Tribunal arbitral d'avoir violé son droit d'être entendue, au sens de l' art. 190 al. 2 let . d LDIP et, plus précisément d'avoir méconnu que ce droit lui imposait un devoir minimum d'examiner et de traiter les problèmes pertinents.</w:t>
      </w:r>
    </w:p>
    <w:p>
      <w:r>
        <w:t>A la suivre, les arbitres, par le biais d'une "esquive", auraient fait l'économie de l'examen, sans doute délicat, des arguments qu'elle avait pourtant "martelés" d'emblée et pendant toute la procédure pour démontrer que la clause 4.4 du</w:t>
      </w:r>
    </w:p>
    <w:p>
      <w:r>
        <w:t>SPA n'était pas valable au regard des règles impératives du droit... relevant des lois de police ou de l'ordre public. Il leur aurait échappé que la question de l'approbation de la transaction par les entités... compétentes (Z.________ et Y.________) était différente de celle de la compatibilité de la clause incriminée avec ces règles-là. De même auraient-ils oublié qu'une autorisation quelconque ne peut jamais guérir un vice d'ordre public (recours, n. 62 à 71).</w:t>
      </w:r>
    </w:p>
    <w:p>
      <w:r>
        <w:rPr>
          <w:b/>
        </w:rPr>
        <w:t>E. 3.3.1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Au demeurant, le Tribunal fédéral a jugé qu'il ne lui appartient pas de décider si les arbitres auraient dû admettre ou non le moyen qui leur a échappé, à supposer qu'ils l'eussent traité. Cela reviendrait, en effet, à méconnaître la nature formelle du droit d'être entendu et la nécessité d'annuler la décision attaquée en cas de violation de ce droit, indépendamment des chances de la partie recourante d'obtenir un résultat différent (arrêt 4A_69/2015 du 26 octobre 2015 consid. 3.1).</w:t>
      </w:r>
    </w:p>
    <w:p>
      <w:r>
        <w:t>Dans sa réplique, la recourante complète sa motivation sur la portée qu'il conviendrait d'attribuer aux principes posés par le Tribunal fédéral en ce qui concerne cet élément de la garantie du droit d'être entendu prévue par l' art. 190 al. 2 let . d LDIP (n. 72/73). Elle pense, notamment, avoir mis au jour un assouplissement de cette jurisprudence dans le sens d'une volonté du Tribunal fédéral "d'élargir le contrôle fondé sur le déni de justice formel en lien avec l'omission de traiter un argument dans la sentence" (n. 72). Hormis le fait qu'une telle écriture ne doit pas servir au complètement du recours (arrêt 4A_709/2014 du 21 mai 2015 consid. 2.1), l'affirmation de la recourante est erronée, tant il est vrai que la jurisprudence en la matière n'a pas bougé d'un iota depuis l'arrêt Ca ñas ( ATF 133 III 235 consid. 5.2). Du reste, l'élargissement de ce contrôle n'est pas d'actualité, d'autant moins que le Tribunal fédéral est confronté à une tendance, qui ne cesse de s'accentuer, consistant pour nombre de recourants à invoquer cet aspect de la garantie du droit d'être entendu dans l'espoir d'obtenir indirectement un examen du fond de la sentence attaquée. C'est le lieu de rappeler que le Tribunal fédéral n'est pas une juridiction d'appel et que le législateur a consciemment et volontairement restreint son pouvoir d'examen lorsqu'il l'a chargé de statuer sur les recours en matière d'arbitrage international.</w:t>
      </w:r>
    </w:p>
    <w:p>
      <w:r>
        <w:rPr>
          <w:b/>
        </w:rPr>
        <w:t>E. 3.3.2</w:t>
      </w:r>
    </w:p>
    <w:p>
      <w:r>
        <w:t>Le Tribunal arbitral n'a pas</w:t>
      </w:r>
    </w:p>
    <w:p>
      <w:r>
        <w:t>esquivé la question de l'incidence éventuelle de la violation de normes impératives... sur la validité de l'art. 4.4 du</w:t>
      </w:r>
    </w:p>
    <w:p>
      <w:r>
        <w:t>SPA . Il a simplement considéré que cette question n'était pas pertinente (sentence, n. 279:</w:t>
      </w:r>
    </w:p>
    <w:p>
      <w:r>
        <w:t>irrelevant... not derminant ) pour la décision à rendre en l'espèce (ibid.:</w:t>
      </w:r>
    </w:p>
    <w:p>
      <w:r>
        <w:t>in the instant case ) au motif que Z.________ et Y.________ avaient approuvé la transaction passée entre les parties litigantes. Les arbitres ont ainsi clairement indiqué pourquoi ils s'estimaient en droit de ne pas examiner si la clause incriminée était compatible ou non avec les règles impératives du droit... entrant en ligne de compte. Est, dès lors, vaine la tentative de la recourante de dissocier les deux questions que le Tribunal arbitral a volontairement jointes. Le fait est que celui-ci a traité la question qui lui était posée en expliquant pourquoi il pouvait se dispenser d'y répondre dans un sens ou dans l'autre, et cela est suffisant sous l'angle de la garantie du droit d'être entendu au sens de l' art. 190 al. 2 let . d LDIP et de la jurisprudence y relative.</w:t>
      </w:r>
    </w:p>
    <w:p>
      <w:r>
        <w:t>Il n'appartient pas au Tribunal fédéral de vérifier la pertinence du motif sur la base duquel le Tribunal arbitral a estimé pouvoir faire l'économie de l'examen préconisé par la recourante. Autrement dit, la Cour de céans ne recherchera pas si c'est à tort ou à raison que les arbitres ont admis, à tout le moins implicitement, que l'autorisation délivrée par les entités... compétentes en matière de supervision bancaire guérissait une éventuelle violation des lois de police ou d'ordre public... commise par les cocontractantes ou, pour reprendre les termes utilisés par la recourante, si pareil vice ne pouvait pas être guéri par une autorisation quelconque. La suivre sur ce terrain reviendrait, en effet, à entrer en matière sur le fond ou, du moins, à étendre la portée du pouvoir d'examen que le Tribunal fédéral se reconnaît en la matière. Dans le même ordre d'idées et pour prendre un exemple plus parlant, si un Tribunal arbitral, saisi d'une action en responsabilité contractuelle, considère, dans sa sentence finale, qu'il peut se dispenser d'examiner les conditions de cette responsabilité (violation du contrat, faute, dommage et causalité) parce qu'il juge la prétention litigieuse prescrite, la partie demanderesse ne pourra pas demander au Tribunal fédéral, dans le cadre d'un recours où elle ferait valoir une violation de son droit d'être entendue pour cause de non-examen de ces conditions-là, de constater que le Tribunal arbitral a erré en admettant l'exception de prescription soulevée par la partie défenderesse. Tout au plus pourra-t-elle faire valoir, afin d'obtenir l'annulation de la sentence, ce que la recourante ne fait pas en l'espèce, que le motif retenu par le Tribunal arbitral pour faire l'économie d'un tel examen - là, la prescription; ici, l'effet guérisseur de la ratification - l'a été en violation de l'un des différents griefs mentionnés à l' art. 190 al. 2 LDIP .</w:t>
      </w:r>
    </w:p>
    <w:p>
      <w:r>
        <w:t>Sans doute cette solution peut-elle paraître assez sévère pour une partie devant s'accommoder d'un refus, par hypothèse injustifié, d'examiner des moyens qu'elle a valablement soumis au Tribunal arbitral. Il s'agit là, toutefois, d'une conséquence inhérente au système des voies de droit mis en place dans le domaine de l'arbitrage international, caractérisé par la volonté de restreindre sensiblement l'intervention de la juridiction étatique de recours. Au demeurant, le sort de cette partie ne sera</w:t>
      </w:r>
    </w:p>
    <w:p>
      <w:r>
        <w:t>in fine pas moins enviable que celui qui eût été réservé à cette même partie si ces moyens-là, dûment examinés, avaient été écartés par le Tribunal arbitral sur la base de motifs insoutenables, puisqu'aussi bien le grief d'arbitraire ne figure pas dans la liste exhaustive de l' art. 190 al. 2 LDIP .</w:t>
      </w:r>
    </w:p>
    <w:p>
      <w:r>
        <w:t>Cela étant, il y a lieu de rejeter le recours. La requête de la recourante visant à obtenir l'effet suspensif, lequel lui a été accordé à titre superprovisoire, devient ainsi sans objet.</w:t>
      </w:r>
    </w:p>
    <w:p>
      <w:r>
        <w:rPr>
          <w:b/>
        </w:rPr>
        <w:t>E. 4</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