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4A_519/2010 vom 11. November 2010</w:t>
      </w:r>
    </w:p>
    <w:p>
      <w:r>
        <w:t>Bundesgericht, 2010-11-11, DE</w:t>
      </w:r>
    </w:p>
    <w:p>
      <w:r>
        <w:rPr>
          <w:b/>
        </w:rPr>
        <w:t xml:space="preserve">Quelle: </w:t>
      </w:r>
      <w:r>
        <w:t>https://mcp.opencaselaw.ch/entscheid/bger_4A_519_2010</w:t>
      </w:r>
    </w:p>
    <w:p>
      <w:r>
        <w:t>FR: TF 4A_519/2010 du 11 novembre 2010</w:t>
      </w:r>
    </w:p>
    <w:p>
      <w:r>
        <w:t>IT: TF 4A_519/2010 del 11 novembre 2010</w:t>
      </w:r>
    </w:p>
    <w:p>
      <w:pPr>
        <w:pStyle w:val="Heading2"/>
      </w:pPr>
      <w:r>
        <w:t>Erwägungen</w:t>
      </w:r>
    </w:p>
    <w:p>
      <w:r>
        <w:rPr>
          <w:b/>
        </w:rPr>
        <w:t>E. 1</w:t>
      </w:r>
    </w:p>
    <w:p>
      <w:r>
        <w:t>Der angefochtene Entscheid des Kantonsgerichts ist ein verfahrensabschliessender Endentscheid ( Art. 90 BGG ) einer letzten kantonalen Instanz ( Art. 75 Abs. 1 BGG ). Namentlich war eine Nichtigkeitsbeschwerde an das Kassationsgericht des Kantons St. Gallen ausgeschlossen (Art. 238 lit. c des Zivilprozessgesetzes des Kantons St. Gallen vom 20. Dezember 1990 [ZPO/SG; sGS 961.2] i.V.m. Art. 343 Abs. 2 OR ). Sodann übersteigt der Streitwert von Fr. 15'163.85 die Grenze nach Art. 74 Abs. 1 lit. a BGG . Unter Vorbehalt einer rechtsgenüglichen Begründung ( Art. 42 Abs. 2 und Art. 106 Abs. 2 BGG ) ist auf die Beschwerde einzutreten.</w:t>
      </w:r>
    </w:p>
    <w:p>
      <w:r>
        <w:t>Die Beschwerdeführerin stellt keinen materiellen Antrag, sondern begehrt lediglich die Aufhebung des angefochtenen Entscheids und die Rückweisung der Sache zur Durchführung eines Beweisverfahrens. Dieser Antrag genügt, da die von der Beschwerdeführerin verlangte Durchführung eines Beweisverfahrens eine Rückweisung erfordern würde und das Bundesgericht somit bei Gutheissung der Beschwerde keinen reformatorischen Entscheid fällen könnte.</w:t>
      </w:r>
    </w:p>
    <w:p>
      <w:r>
        <w:rPr>
          <w:b/>
        </w:rPr>
        <w:t>E. 2.1</w:t>
      </w:r>
    </w:p>
    <w:p>
      <w:r>
        <w:t>Die Beschwerdeführerin rügt einzig eine Verletzung der Untersuchungsmaxime nach Art. 343 Abs. 4 OR . Sie beanstandet die Erwägung der Vorinstanz, dass es auch unter der Untersuchungsmaxime nicht Aufgabe des Gerichts sei, eine Partei zur Substanziierung und zum Beweis von Behauptungen anzuhalten, die in sich widersprüchlich seien. Zudem sei davon auszugehen, dass die von Anfang an anwaltlich vertretene Beschwerdeführerin ihre Behauptungen substanziiert und verfügbare Beweismittel genannt hätte, wenn sie dazu in der Lage gewesen wäre. Deshalb wäre es zwecklos, die Beschwerdeführerin zur weiteren Substanziierung und zur Nennung von Beweisen aufzufordern.</w:t>
      </w:r>
    </w:p>
    <w:p>
      <w:r>
        <w:rPr>
          <w:b/>
        </w:rPr>
        <w:t>E. 2.2</w:t>
      </w:r>
    </w:p>
    <w:p>
      <w:r>
        <w:t>Im Unterschied zur im Zivilprozess üblichen Verhandlungsmaxime, nach der die Parteien den Prozessstoff einbringen müssen und nur über Bestrittenes Beweis zu führen ist, verpflichtet Art. 343 Abs. 4 OR den Richter, den Sachverhalt von Amtes wegen abzuklären. Die sozialpolitisch begründete Untersuchungsmaxime gemäss Art. 343 OR entbindet die Parteien allerdings nicht davon, an der Sammlung des Prozessstoffes aktiv mitzuwirken, ihre Standpunkte zu substanziieren und die Beweismittel zu nennen. Die Parteien tragen auch im Bereich der Untersuchungsmaxime die Verantwortung dafür, dass die relevanten Behauptungen vorgebracht werden; ebenso sind sie grundsätzlich für die Sachverhaltsermittlung verantwortlich ( BGE 130 III 102 E. 2.2 S. 107; 111 II 281 E. 3; 107 II 233 E. 2c S. 236; vgl. auch BGE 125 III 231 E. 4a S. 238 f.). Zwar gilt für den Richter eine ausgedehntere Fragepflicht; vom Zweck der Untersuchungsmaxime her, auch prozessunerfahrenen Parteien eine selbständige Prozessführung zu ermöglichen, rechtfertigt es sich indes, das Ausmass der gerichtlichen Hilfestellungen davon abhängig zu machen, ob eine Partei selbständig auftritt oder anwaltlich vertreten ist (Urteile 4A_635/2009 vom 24. März 2010 E. 2.2; 4C.340/2004 vom 2. Dezember 2004 E. 4.2 mit Hinweisen, nicht publ. in: BGE 131 III 243 ).</w:t>
      </w:r>
    </w:p>
    <w:p>
      <w:r>
        <w:rPr>
          <w:b/>
        </w:rPr>
        <w:t>E. 2.3</w:t>
      </w:r>
    </w:p>
    <w:p>
      <w:r>
        <w:t>Die Beschwerdeführerin trägt lediglich und in bloss allgemeiner Hinsicht vor, in Verfahren, die der Untersuchungsmaxime unterlägen, müssten die Parteien über ungenügende Substanziierung oder fehlende Beweise in Kenntnis gesetzt werden. Inwiefern im konkreten Fall die Vorinstanz die Untersuchungsmaxime verletzt haben soll, begründet sie mit keinem Wort. Es ist daher fraglich, ob auf ihre Rüge überhaupt eingetreten werden kann, werden doch die gesetzlichen Begründungsanforderungen kaum erreicht ( Art. 42 Abs. 2 BGG ). Die Rüge geht indessen ohnehin fehl. Wie vorstehend dargelegt, entbindet der arbeitsrechtliche Untersuchungsgrundsatz die Parteien nicht davon, ihre Behauptungen rechtsgenügend zu substanziieren und die Beweismittel zu nennen, was insbesondere gilt, wenn eine Partei - wie vorliegend die Beschwerdeführerin - von Anfang an anwaltlich vertreten ist. Schon das Kreisgericht wies betreffend das behauptete Fehlverhalten des Beschwerdegegners auf eine unzureichende Substanziierung und das Fehlen von Beweisofferten hin. Die Beschwerdeführerin war somit über diesen Mangel in Kenntnis gesetzt. Unter diesen Umständen kann dem Obergericht nicht vorgeworfen werden, den Untersuchungsgrundsatz nach Art. 343 OR verletzt zu haben, wenn es nicht auch noch seinerseits auf die mangelnde Substanziierung in diesem Punkt hinwies und eine weitere Substanziierung verlangte.</w:t>
      </w:r>
    </w:p>
    <w:p>
      <w:r>
        <w:rPr>
          <w:b/>
        </w:rPr>
        <w:t>E. 3</w:t>
      </w:r>
    </w:p>
    <w:p>
      <w:r>
        <w:t>Die Beschwerde ist daher abzuweisen. Bei diesem Ausgang des Verfahrens wird die Beschwerdeführerin kosten- und entschädigungspflichtig (Art. 66 Abs. 1 i.V.m. Art. 65 Abs. 4 lit. c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