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4A_519/2009 vom 14. Januar 2010</w:t>
      </w:r>
    </w:p>
    <w:p>
      <w:r>
        <w:t>Bundesgericht, 2010-01-14, FR</w:t>
      </w:r>
    </w:p>
    <w:p>
      <w:r>
        <w:rPr>
          <w:b/>
        </w:rPr>
        <w:t xml:space="preserve">Quelle: </w:t>
      </w:r>
      <w:r>
        <w:t>https://mcp.opencaselaw.ch/entscheid/bger_4A_519_2009</w:t>
      </w:r>
    </w:p>
    <w:p>
      <w:r>
        <w:t>FR: TF 4A_519/2009 du 14 janvier 2010</w:t>
      </w:r>
    </w:p>
    <w:p>
      <w:r>
        <w:t>IT: TF 4A_519/2009 del 14 gennaio 2010</w:t>
      </w:r>
    </w:p>
    <w:p>
      <w:pPr>
        <w:pStyle w:val="Heading2"/>
      </w:pPr>
      <w:r>
        <w:t>Erwägungen</w:t>
      </w:r>
    </w:p>
    <w:p>
      <w:r>
        <w:rPr>
          <w:b/>
        </w:rPr>
        <w:t>E. 1.1</w:t>
      </w:r>
    </w:p>
    <w:p>
      <w:r>
        <w:t>Interjeté par la partie défenderesse qui a partiellement succombé dans ses conclusions libératoires et qui a ainsi la qualité pour recourir ( art. 76 al. 1 LTF ), dirigé contre un arrêt final ( art. 90 LTF ) rendu en matière civile ( art. 72 al. 1 LTF ) par une autorité cantonale de dernière instance ( art. 75 LTF ) dans une affaire pécuniaire dont la valeur litigieuse atteint le seuil de 30'000 fr. de l' art. 74 al. 1 let. b LTF , le recours est par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134 III 379 consid. 1.2 p. 382).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 Il s'en tient cependant d'ordinaire aux questions juridiques que la partie recourante soulève dans la motivation du recours ( art. 42 al. 2 LTF ; ATF 134 III 102 consid. 1.1 p. 105). Il n'examine la violation de droits constitutionnels que s'il est saisi d'un grief invoqué et motivé de façon détaillée ( art. 106 al. 2 LTF ; ATF 135 III 397 consid. 1.4 in fine).</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au sens de l' art. 9 Cst. ( ATF 135 III 127 consid. 1.5 p. 130, 397 consid. 1.5)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Le recourant ne peut de toute manière demander une correction de l'état de fait que si celle-ci est susceptible d'influer sur le sort de la cause ( art. 97 al. 1 LTF ). Aucun fait nouveau ni preuve nouvelle ne peut être présenté à moins de résulter de la décision de l'autorité précédente ( art. 99 al. 1 LTF ).</w:t>
      </w:r>
    </w:p>
    <w:p>
      <w:r>
        <w:t>Le Tribunal fédéral ne peut aller au-delà des conclusions des parties ( art. 107 al. 1 LTF ). Toute conclusion nouvelle est irrecevable ( art. 99 al. 2 LTF ).</w:t>
      </w:r>
    </w:p>
    <w:p>
      <w:r>
        <w:rPr>
          <w:b/>
        </w:rPr>
        <w:t>E. 1.3</w:t>
      </w:r>
    </w:p>
    <w:p>
      <w:r>
        <w:t>Sans former elle-même un recours en matière civile contre l'arrêt déféré, l'intimée requiert dans sa réponse que cette décision soit modifiée à son avantage, en ce sens qu'il lui soit alloué l'entier de ses dernières conclusions du 6 juin 2008, voire, subsidiairement, une indemnité satisfactoire de 5'000 fr. Dès l'instant où le recours joint est désormais proscrit par la LTF, de telles conclusions sont irrecevables (BERNARD CORBOZ, in Commentaire de la LTF, n° 29 et 33 ad art. 102 LTF ).</w:t>
      </w:r>
    </w:p>
    <w:p>
      <w:r>
        <w:rPr>
          <w:b/>
        </w:rPr>
        <w:t>E. 2</w:t>
      </w:r>
    </w:p>
    <w:p>
      <w:r>
        <w:t>Il résulte de l'arrêt attaqué que l'assurance ayant opté, après l'incendie du 9 novembre 1997, pour la transformation de son obligation de paiement en obligation de remise en état, les relations entre les parties ressortissent dorénavant au droit du contrat d'entreprise ( art. 363 ss CO ). Il n'est pas contesté qu'en ce qui concerne l'exécution des travaux effectués dans sa villa à la suite du sinistre, la demanderesse a formé en temps utile un avis des défauts.</w:t>
      </w:r>
    </w:p>
    <w:p>
      <w:r>
        <w:t>La Cour de justice a nié que le montant de 96'721 fr. versé en mains de la demanderesse l'ait été pour procéder à la correction des défauts ayant entaché les travaux réalisés jusqu'au 4 mars 1998, ainsi que l'avaient admis les premiers juges. Elle a considéré que ce montant a été payé à l'intéressée à titre de règlement de travaux déjà exécutés, étant donné qu'il se fondait sur les devis ou les factures émis par les entreprises sollicitées; de plus, la somme de 96'721 fr. incorporait des versements pour des postes n'ayant pas fait l'objet de contestations ou apparus postérieurement au 4 mars 1998.</w:t>
      </w:r>
    </w:p>
    <w:p>
      <w:r>
        <w:t>Les juges cantonaux ont relevé que l'expertise judiciaire pouvait être suivie, sous quelques réserves. Tout d'abord, d'un point de vue méthodologique, même si l'expert B.________ n'avait pas dressé la liste précise des travaux opérés entre le 9 novembre 1997 et le 4 mars 1998 et s'était limité à répertorier l'ensemble des malfaçons affectant la maison de la demanderesse, il était possible d'admettre, notamment sur la base des déclarations de la défenderesse et des devis établis, que les travaux concernés étaient ceux de menuiserie, sols, murs et plafonds, peinture, auxquels s'ajoutaient d'autres relatifs à l'électricité (y compris le chauffage électrique) et aux installations sanitaires.</w:t>
      </w:r>
    </w:p>
    <w:p>
      <w:r>
        <w:t>La cour cantonale est partie du coût total net des travaux de remise en état arrêté par l'expert à 84'000 fr. Elle en a déduit 951 fr. correspondant au montant encaissé par la demanderesse en compensation de la pose d'un chauffe-eau de moindre qualité qu'avant l'incendie. Elle a soustrait ensuite les postes « peinture » et «murs et plafonds », par respectivement 2'250 fr. et 1'700 fr., car ils avaient fait l'objet d'une compensation au profit de la précitée dans une procédure parallèle que lui avait intentée l'entreprise ayant réalisé lesdits travaux et qu'au surplus la lésée avait perçu de l'assurance 3'356 fr. pour la réfection des seuls papiers peints, élément ayant échappé à l'expert. La Cour de justice n'a pas tenu compte du poste « nettoyage », par 2'500 fr., au motif qu'il ne se rapportait pas à des malfaçons liées à des travaux exécutés il y a une décennie, ainsi que du poste « divers », par 15'000 fr., car il était afférent à des travaux indéterminés ne pouvant être attribués spécifiquement à un corps de métier. Enfin, elle a écarté le poste « arrondi », par 430 fr., car il n'avait trait à aucun travail de réfection.</w:t>
      </w:r>
    </w:p>
    <w:p>
      <w:r>
        <w:t>En définitive, l'ensemble des déductions représentant 22'831 fr., c'est la somme de 61'169 fr. qui devait être accordée à la demanderesse (84'000 fr. - 22'831 fr.), avec intérêts au taux légal de 5% dès la date du dépôt de la demande devant le Tribunal de première instance.</w:t>
      </w:r>
    </w:p>
    <w:p>
      <w:r>
        <w:t>La cour cantonale a enfin considéré, à propos des dépens entraînés par la conclusion en paiement de 110'000 fr., que ceux-ci devaient être partagés également entre les parties, puisque la demanderesse avait obtenu à peu près la moitié de ce qu'elle réclamait.</w:t>
      </w:r>
    </w:p>
    <w:p>
      <w:r>
        <w:rPr>
          <w:b/>
        </w:rPr>
        <w:t>E. 3</w:t>
      </w:r>
    </w:p>
    <w:p>
      <w:r>
        <w:t>Dans son premier moyen, la recourante prétend que la Cour de justice a sombré dans l'arbitraire en retenant que l'entier de la somme de 96'721 fr. qu'elle a versée directement en mains de l'intimée ne l'a pas été dans le but de faire procéder à la réfection des défauts apparus à la suite de l'exécution de travaux dans la villa sinistrée entre le 9 novembre 1997 et le 4 mars 1998. Elle affirme que c'est sans aucun fondement que la cour cantonale a émis à ce sujet une opinion diamétralement opposée à celle des premiers juges. La Cour de justice, sur la base de l'expertise judiciaire, n'aurait d'ailleurs pas été à même de déterminer la part des versements qui aurait bien été attribuée à la correction des travaux mal exécutés. De plus, on ne pourrait rien tirer de la circonstance - évoquée par l'autorité cantonale au considérant 3 de l'arrêt entrepris - que des devis ou des factures ont été émis, car cela ne signifie pas que ces documents se rapportent à des travaux correctement exécutés.</w:t>
      </w:r>
    </w:p>
    <w:p>
      <w:r>
        <w:rPr>
          <w:b/>
        </w:rPr>
        <w:t>E. 3.1</w:t>
      </w:r>
    </w:p>
    <w:p>
      <w:r>
        <w:t>L'arbitraire, prohibé par l' art. 9 Cst. ,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135 V 2 consid. 1.3; 134 I 263 consid. 3.1).</w:t>
      </w:r>
    </w:p>
    <w:p>
      <w:r>
        <w:t>Selon la jurisprudence relative aux recours formés pour violation de droits constitutionnels ( art. 106 al. 2 ou 116 LTF ), celui qui se plaint d'arbitraire doit indiquer de façon précise en quoi la décision qu'il attaque est entachée d'un vice grave et indiscutable; à défaut, le grief est irrecevable ( ATF 135 III 397 consid. 1.4; 133 II 396 consid. 3.2 p. 400).</w:t>
      </w:r>
    </w:p>
    <w:p>
      <w:r>
        <w:t>En matière d'appréciation des preuves et d'établissement des faits, l'autorité verse dans l'arbitraire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 ATF 134 V 53 consid. 4.3 p. 62; 129 I 8 consid. 2.1; 118 Ia 28 consid. 1b).</w:t>
      </w:r>
    </w:p>
    <w:p>
      <w:r>
        <w:rPr>
          <w:b/>
        </w:rPr>
        <w:t>E. 3.2</w:t>
      </w:r>
    </w:p>
    <w:p>
      <w:r>
        <w:t>Le moyen, dont le caractère appellatoire est prédominant, ne semble pas répondre aux exigences strictes de motivation déduites de l' art. 106 al. 2 LTF . La question peut rester indécise, car il est de toute manière privé de tout fondement.</w:t>
      </w:r>
    </w:p>
    <w:p>
      <w:r>
        <w:t>Il résulte en effet du décompte final se rapportant au sinistre daté du 25 mai 1999, dressé dans le cadre de la procédure d'arbitrage initiée par les parties en vertu des conditions générales de la défenderesse, qu'une somme de 96'721 fr. avait été payée en mains de la demanderesse par l'assurance; ce montant, à dire d'experts, avait trait soit aux règlements de travaux qui n'avaient pas donné lieu à réclamation (et qui ne pouvaient ainsi concerner la correction de malfaçons), soit aux paiements opérés à la suite de la réception d'offres adressées directement à l'intimée après le 4 mars 1998.</w:t>
      </w:r>
    </w:p>
    <w:p>
      <w:r>
        <w:t>A partir de cette pièce - à laquelle la recourante ne fait pas la plus petite allusion dans sa critique - , il n'y a rien d'insoutenable à admettre que le montant en cause de 96'721 fr. dans sa totalité ne correspond pas à des versements ayant un lien avec les travaux de réfection ayant été exécutés postérieurement au 4 mars 1998.</w:t>
      </w:r>
    </w:p>
    <w:p>
      <w:r>
        <w:rPr>
          <w:b/>
        </w:rPr>
        <w:t>E. 4</w:t>
      </w:r>
    </w:p>
    <w:p>
      <w:r>
        <w:t>Le second moyen de la recourante a trait à l'appréciation prétendument arbitraire que les magistrats genevois ont fait de l'expertise judiciaire. Outre de s'être écartés à de nombreuses reprises et sans motifs valables des conclusions de l'expert, ceux-ci auraient encore substitué leur propre appréciation à celle de l'homme de l'art.</w:t>
      </w:r>
    </w:p>
    <w:p>
      <w:r>
        <w:t>Ne craignant apparemment pas de se contredire, la recourante fait encore valoir que l'expertise comporte de graves défauts, ce qu'aurait admis la cour cantonale en ne s'y référant pas sur tous les points, si bien que cette dernière avait l'obligation de s'en écarter et ne pouvait pas faire usage des conclusions de l'expert.</w:t>
      </w:r>
    </w:p>
    <w:p>
      <w:r>
        <w:rPr>
          <w:b/>
        </w:rPr>
        <w:t>E. 4.1</w:t>
      </w:r>
    </w:p>
    <w:p>
      <w:r>
        <w:t>Lorsque l'autorité cantonale juge une expertise concluante et en fait sien le résultat, le Tribunal fédéral n'admet le grief d'arbitraire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bien plutôt à examiner si l'autorité intimée pouvait, sans arbitraire, se rallier au résultat de l'expertise (arrêt 4P.283/2004 du 12 avril 2005 consid. 3.1, in RDAF 2005 I p. 375; arrêt 4P.263/2003 du 1er avril 2004 consid. 2.1).</w:t>
      </w:r>
    </w:p>
    <w:p>
      <w:r>
        <w:rPr>
          <w:b/>
        </w:rPr>
        <w:t>E. 4.2</w:t>
      </w:r>
    </w:p>
    <w:p>
      <w:r>
        <w:t>Le moyen repose sur des affirmations antinomiques. D'un côté, il est reproché à la Cour de justice de s'être écartée arbitrairement des conclusions de l'expert, de l'autre il lui est fait grief de s'y être fiée alors qu'elle était inutilisable. Un tel moyen ne saurait être considéré comme suffisamment motivé au regard des exigences légales.</w:t>
      </w:r>
    </w:p>
    <w:p>
      <w:r>
        <w:t>Fût-il recevable qu'il devrait être déclaré privé de tout fondement.</w:t>
      </w:r>
    </w:p>
    <w:p>
      <w:r>
        <w:rPr>
          <w:b/>
        </w:rPr>
        <w:t>E. 4.2.1</w:t>
      </w:r>
    </w:p>
    <w:p>
      <w:r>
        <w:t>La recourante semble tout d'un coup alléguer que l'intimée n'a jamais prouvé l'existence des défauts survenus après l'exécution des travaux entrepris entre le 9 novembre 1997 et le 4 mars 1998.</w:t>
      </w:r>
    </w:p>
    <w:p>
      <w:r>
        <w:t>Il a été constaté que l'expert judiciaire, dans son rapport du 19 janvier 2007, a décrit précisément les travaux qui étaient défectueux. Or la recourante n'a pas requis un complément d'expertise ou une surexpertise, mais elle a au contraire admis, dans ses conclusions après enquêtes et expertise déposées devant le Tribunal de première instance le 6 juin 2008, que ces travaux avaient bien été réalisés dans la période susmentionnée.</w:t>
      </w:r>
    </w:p>
    <w:p>
      <w:r>
        <w:t>Cette part du moyen est sans consistance.</w:t>
      </w:r>
    </w:p>
    <w:p>
      <w:r>
        <w:rPr>
          <w:b/>
        </w:rPr>
        <w:t>E. 4.2.2</w:t>
      </w:r>
    </w:p>
    <w:p>
      <w:r>
        <w:t>La recourante s'en prend au coût de remise en état de l'électricité et du chauffage électrique, évalué par l'expert à 39'300 fr. Faisant référence au rapport d'expertise avant procès du 22 juin 1998, elle affirme que l'expert judiciaire n'a pas distingué entre les montants alloués pour l'électricité et ceux pour le chauffage.</w:t>
      </w:r>
    </w:p>
    <w:p>
      <w:r>
        <w:t>On ne voit pas quelle grave erreur aurait commise l'architecte désigné comme expert pour n'avoir pas distingué entre les coûts des travaux d'électricité et de chauffage s'agissant d'une maison chauffée en tout cas en grande partie à l'électricité. Enfin, la recourante n'a pas fait valoir que c'est arbitrairement que les conclusions du rapport d'expertise avant procès, antérieures de huit ans et demi à celles du rapport d'expertise judiciaire, n'ont pas été mentionnées dans l'état de fait de l'arrêt critiqué.</w:t>
      </w:r>
    </w:p>
    <w:p>
      <w:r>
        <w:rPr>
          <w:b/>
        </w:rPr>
        <w:t>E. 4.2.3</w:t>
      </w:r>
    </w:p>
    <w:p>
      <w:r>
        <w:t>La recourante prétend que la cour cantonale ne pouvait se rallier aux conclusions de l'expert quant à la réfection des travaux se rapportant aux installations sanitaires, dont il a estimé le coût à 13'250 fr. Et de renvoyer à nouveau au rapport d'expertise avant-procès, voire au jugement du Tribunal de première instance du 18 septembre 2008, annulé par l'arrêt attaqué.</w:t>
      </w:r>
    </w:p>
    <w:p>
      <w:r>
        <w:t>La recourante ne fait pas la démonstration que s'agissant de la prise en compte du poste « sanitaire » dans les travaux à corriger, l'expert judiciaire a erré au point que même un profane dans l'art de construire l'aurait remarqué. Le Tribunal fédéral n'a pas à examiner les arguments d'une autorité inférieure, totalement écartés dans la décision de dernière instance faisant l'objet du recours ( art. 75 al. 1 LTF ). Pour le reste, il suffit de renvoyer à ce qui vient d'être dit ci-dessus.</w:t>
      </w:r>
    </w:p>
    <w:p>
      <w:r>
        <w:rPr>
          <w:b/>
        </w:rPr>
        <w:t>E. 4.2.4</w:t>
      </w:r>
    </w:p>
    <w:p>
      <w:r>
        <w:t>La recourante critique la cour cantonale pour s'être ralliée aux conclusions de l'expertise s'agissant du coût des travaux de correction des défauts appartenant au poste « menuiserie », par 3'950 fr., et « sols », par 5'620 fr.</w:t>
      </w:r>
    </w:p>
    <w:p>
      <w:r>
        <w:t>A cet égard, elle se borne à exposer sa propre vision des choses, sans même tenter de démontrer en quoi les conclusions de l'expert seraient contradictoires, voire absurdes. Il n'est ainsi nul besoin de se pencher plus avant sur la question.</w:t>
      </w:r>
    </w:p>
    <w:p>
      <w:r>
        <w:rPr>
          <w:b/>
        </w:rPr>
        <w:t>E. 4.2.5</w:t>
      </w:r>
    </w:p>
    <w:p>
      <w:r>
        <w:t>La recourante déclare ensuite ne pas comprendre pourquoi l'autorité cantonale a écarté le poste « murs et plafonds », par 1'700 fr., en se fondant sur l'expertise avant-procès qui a fait état d'un paiement direct par l'assurance à la demanderesse d'une somme de 3'356 fr. en rapport avec la réfection de papiers peints.</w:t>
      </w:r>
    </w:p>
    <w:p>
      <w:r>
        <w:t>Cette critique n'a pas trait à l'appréciation arbitraire des preuves, mais à l'obligation de motivation de l'autorité cantonale déduite du droit du plaideur à être entendu ( art. 29 al. 2 Cst. ). Faute de l'invocation d'un grief constitutionnel motivé sous cet angle, le point n'a pas à être examiné.</w:t>
      </w:r>
    </w:p>
    <w:p>
      <w:r>
        <w:rPr>
          <w:b/>
        </w:rPr>
        <w:t>E. 5</w:t>
      </w:r>
    </w:p>
    <w:p>
      <w:r>
        <w:t>Il suit de là que le recours doit être rejeté dans la faible mesure de sa recevabilité. Vu l'issue de la querelle, les frais judiciaires et les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