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4A_519/2007 vom 6. Februar 2008</w:t>
      </w:r>
    </w:p>
    <w:p>
      <w:r>
        <w:t>Bundesgericht, 2008-02-06, FR</w:t>
      </w:r>
    </w:p>
    <w:p>
      <w:r>
        <w:rPr>
          <w:b/>
        </w:rPr>
        <w:t xml:space="preserve">Quelle: </w:t>
      </w:r>
      <w:r>
        <w:t>https://mcp.opencaselaw.ch/entscheid/bger_4A_519_2007</w:t>
      </w:r>
    </w:p>
    <w:p>
      <w:r>
        <w:t>FR: TF 4A_519/2007 du 6 février 2008</w:t>
      </w:r>
    </w:p>
    <w:p>
      <w:r>
        <w:t>IT: TF 4A_519/2007 del 6 febbraio 2008</w:t>
      </w:r>
    </w:p>
    <w:p>
      <w:pPr>
        <w:pStyle w:val="Heading2"/>
      </w:pPr>
      <w:r>
        <w:t>Erwägungen</w:t>
      </w:r>
    </w:p>
    <w:p>
      <w:r>
        <w:rPr>
          <w:b/>
        </w:rPr>
        <w:t>E. 1</w:t>
      </w:r>
    </w:p>
    <w:p>
      <w:r>
        <w:t>Au regard de l' art. 92 al. 1 LTF , l'arrêt de la Chambre d'appel est une décision incidente concernant la compétence du Tribunal des baux et loyers; il est susceptible de recours selon cette disposition.</w:t>
      </w:r>
    </w:p>
    <w:p>
      <w:r>
        <w:t>Pour le surplus, le recours est dirigé contre un jugement rendu en matière civile ( art. 72 al. 1 LTF ) et en dernière instance cantonale ( art. 75 al. 1 LTF ). La valeur litigieuse excède le minimum légal de 30'000 fr. ( art. 51 al. 1 let . c et 74 al. 1 let. b LTF). Il est formé par une partie qui a pris part à l'instance précédente et succombé dans ses conclusions ( art. 76 al. 1 LTF ). Interjeté en temps utile ( art. 100 al. 1 LTF ) et dans les formes requises (art. 42 al. 1 à 3 LTF), le recours en matière civile est en principe recevable, de sorte que le recours constitutionnel, subsidiaire ( art. 113 LTF ), est exclu.</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ne se prononce sur la violation de droits fondamentaux que s'il se trouve saisi d'un grief invoqué et motivé de façon détaillée ( art. 106 al. 2 LTF ; même arrêt, consid. 1.4.2). Il conduit son raisonnement juridique sur la base des faits constatés dans la décision attaquée ( art. 105 al. 1 LTF ).</w:t>
      </w:r>
    </w:p>
    <w:p>
      <w:r>
        <w:t>Le recours n'est pas recevable pour violation du droit cantonal, hormis les droits constitutionnels cantonaux ( art. 95 let . c LTF) et certaines dispositions sans pertinence en matière civile ( art. 95 let . d LTF).</w:t>
      </w:r>
    </w:p>
    <w:p>
      <w:r>
        <w:rPr>
          <w:b/>
        </w:rPr>
        <w:t>E. 2</w:t>
      </w:r>
    </w:p>
    <w:p>
      <w:r>
        <w:t>La défenderesse est recherchée sur la base de sa lettre de patronage émise le 23 mars 2002. A l'appui de l'exception d'incompétence, elle invoque les art. 274 et ss CO et fait valoir que la lettre de patronage n'est pas un contrat de bail à loyer; elle soutient que le litige est donc étranger aux procédures prévues par ces dispositions de droit fédéral.</w:t>
      </w:r>
    </w:p>
    <w:p>
      <w:r>
        <w:t>Sous le titre « autorités et procédure », les art. 274 à 274g CO introduisent divers principes et maximes à mettre en oeuvre dans le contentieux du bail à loyer. La règle fondamentale se trouve à l' art. 274 CO , lequel prévoit que les cantons désignent les autorités compétentes et règlent la procédure. Cette règle ni aucune des autres dispositions ici visées n'impose aux cantons de créer une juridiction spéciale dans le domaine du bail à loyer, qui soit compétente exclusivement dans cette matière et ne puisse pas connaître, même accessoirement, d'actions fondées sur un titre juridique autre que le bail à loyer. Ainsi, le moyen tiré des art. 274 à 274g CO est inconsistant.</w:t>
      </w:r>
    </w:p>
    <w:p>
      <w:r>
        <w:rPr>
          <w:b/>
        </w:rPr>
        <w:t>E. 3</w:t>
      </w:r>
    </w:p>
    <w:p>
      <w:r>
        <w:t>Aux termes de l'art. 56M de la loi genevoise sur l'organisation judiciaire (OJ gen.), le Tribunal des baux et loyers est compétent pour statuer sur tout litige relatif au contrat de bail à loyer ou au contrat de bail à ferme non agricole d'après les titres VIII et VIIIbis du code des obligations, portant sur une chose immobilière, ainsi que sur les litiges relevant de la loi cantonale du 18 avril 1975 protégeant les garanties fournies par les locataires. Invoquant l' art. 9 Cst. , la défenderesse reproche à la Chambre d'appel d'avoir appliqué arbitrairement cette disposition de droit cantonal.</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132 I 13 consid. 5.1 p. 17; 131 I 467 consid. 3.1 p. 473/474; 129 I 8 consid. 2.1 p. 9).</w:t>
      </w:r>
    </w:p>
    <w:p>
      <w:r>
        <w:t>La décision attaquée contient un exposé de la jurisprudence cantonale relative à l' art. 56M OJ gen. Il en ressort que le Tribunal des baux et loyers est compétent lorsque l'état de fait à la base du litige relève essentiellement du droit du bail; il n'est pas nécessaire que les parties au procès soient directement liées par un contrat de bail. Ainsi, l'action portée devant ce tribunal peut être dirigée, notamment, contre la personne qui a émis une garantie en rapport avec un contrat de bail. Pour corroborer cette solution, la Chambre d'appel relève que selon la nature juridique de la garantie en cause, le garant peut éventuellement soulever des objections fondées sur le contrat de bail; elle relève aussi qu'au regard du principe d'économie de procédure et des besoins de la sécurité juridique, il importe que tous les litiges liés à un contrat de bail, tant entre bailleur et locataire qu'entre bailleur et garant, puissent être résolus par le même tribunal.</w:t>
      </w:r>
    </w:p>
    <w:p>
      <w:r>
        <w:t>A cela, la défenderesse oppose que la présente affaire ne soulève aucune question de droit du bail et qu'il sera nécessaire, en revanche, de résoudre d'épineux problèmes concernant l'interprétation et la validité de la déclaration de patronage. Elle fait aussi valoir que cette sorte de garantie n'est pas visée par la loi cantonale du 18 avril 1975 protégeant les garanties fournies par les locataires. Or, en dépit de ces considérations, la jurisprudence confirmée par la Chambre d'appel semble pleinement compatible avec l' art. 56M OJ gen.; en conséquence, il n'y a pas lieu de rechercher si cette règle pourrait aussi être appliquée de façon différente car la décision attaquée échappe de toute manière au grief tiré de l' art. 9 Cst.</w:t>
      </w:r>
    </w:p>
    <w:p>
      <w:r>
        <w:rPr>
          <w:b/>
        </w:rPr>
        <w:t>E. 4</w:t>
      </w:r>
    </w:p>
    <w:p>
      <w:r>
        <w:t>Le recours se révèle privé de fondement, ce qui conduit à son rejet. 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