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4A_518/2017 vom 21. Februar 2018</w:t>
      </w:r>
    </w:p>
    <w:p>
      <w:r>
        <w:t>Bundesgericht, 2018-02-21, FR</w:t>
      </w:r>
    </w:p>
    <w:p>
      <w:r>
        <w:rPr>
          <w:b/>
        </w:rPr>
        <w:t xml:space="preserve">Quelle: </w:t>
      </w:r>
      <w:r>
        <w:t>https://mcp.opencaselaw.ch/entscheid/bger_4A_518_2017</w:t>
      </w:r>
    </w:p>
    <w:p>
      <w:r>
        <w:t>FR: TF 4A_518/2017 du 21 février 2018</w:t>
      </w:r>
    </w:p>
    <w:p>
      <w:r>
        <w:t>IT: TF 4A_518/2017 del 21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à l'intimée et à l'arbitre unique.</w:t>
      </w:r>
    </w:p>
    <w:p>
      <w:r>
        <w:rPr>
          <w:b/>
        </w:rPr>
        <w:t>E. 4</w:t>
      </w:r>
    </w:p>
    <w:p>
      <w:r>
        <w:t>Dit qu'une copie du présent arrêt est conservée auprès de la Chancellerie du Tribunal fédéral à la disposition de la recourante.</w:t>
      </w:r>
    </w:p>
    <w:p>
      <w:r>
        <w:t>Lausanne, le 21 février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